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36"/>
        <w:bidiVisual/>
        <w:tblW w:w="14040" w:type="dxa"/>
        <w:tblCellMar>
          <w:left w:w="0" w:type="dxa"/>
          <w:right w:w="0" w:type="dxa"/>
        </w:tblCellMar>
        <w:tblLook w:val="04A0"/>
      </w:tblPr>
      <w:tblGrid>
        <w:gridCol w:w="3140"/>
        <w:gridCol w:w="3480"/>
        <w:gridCol w:w="2320"/>
        <w:gridCol w:w="2080"/>
        <w:gridCol w:w="1700"/>
        <w:gridCol w:w="1320"/>
      </w:tblGrid>
      <w:tr w:rsidR="00C91E52" w:rsidRPr="00C91E52" w:rsidTr="00892FB3">
        <w:trPr>
          <w:trHeight w:val="510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C91E52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C91E52">
              <w:rPr>
                <w:b/>
                <w:bCs/>
                <w:sz w:val="24"/>
                <w:szCs w:val="24"/>
              </w:rPr>
              <w:t>Spectrum of activity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892FB3" w:rsidP="00892FB3">
            <w:pPr>
              <w:bidi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C91E52" w:rsidRPr="00C91E52">
              <w:rPr>
                <w:b/>
                <w:bCs/>
                <w:sz w:val="24"/>
                <w:szCs w:val="24"/>
              </w:rPr>
              <w:t>Antifungal Agents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C91E52">
              <w:rPr>
                <w:b/>
                <w:bCs/>
                <w:sz w:val="24"/>
                <w:szCs w:val="24"/>
              </w:rPr>
              <w:t>Mechanism of action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C91E52"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C91E52">
              <w:rPr>
                <w:b/>
                <w:bCs/>
                <w:sz w:val="24"/>
                <w:szCs w:val="24"/>
              </w:rPr>
              <w:t xml:space="preserve">Target </w:t>
            </w:r>
          </w:p>
        </w:tc>
      </w:tr>
      <w:tr w:rsidR="00C91E52" w:rsidRPr="00C91E52" w:rsidTr="00892FB3">
        <w:trPr>
          <w:trHeight w:val="1714"/>
        </w:trPr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C91E52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 xml:space="preserve">Serious toxic side effects </w:t>
            </w:r>
          </w:p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>(</w:t>
            </w:r>
            <w:proofErr w:type="spellStart"/>
            <w:r w:rsidRPr="00C91E52">
              <w:t>nephrotoxicity</w:t>
            </w:r>
            <w:proofErr w:type="spellEnd"/>
            <w:r w:rsidRPr="00C91E52">
              <w:t xml:space="preserve">) </w:t>
            </w:r>
          </w:p>
        </w:tc>
        <w:tc>
          <w:tcPr>
            <w:tcW w:w="3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892FB3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>Broad antifungal spectrum which includes most fungi</w:t>
            </w:r>
          </w:p>
        </w:tc>
        <w:tc>
          <w:tcPr>
            <w:tcW w:w="2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C91E52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Amphotericin</w:t>
            </w:r>
            <w:proofErr w:type="spellEnd"/>
            <w:r w:rsidRPr="00C91E52">
              <w:t xml:space="preserve"> B, </w:t>
            </w:r>
          </w:p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Nystatin</w:t>
            </w:r>
            <w:proofErr w:type="spellEnd"/>
            <w:r w:rsidRPr="00C91E52">
              <w:t xml:space="preserve"> 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 xml:space="preserve">Binds to </w:t>
            </w:r>
            <w:proofErr w:type="spellStart"/>
            <w:r w:rsidRPr="00C91E52">
              <w:t>ergosterol</w:t>
            </w:r>
            <w:proofErr w:type="spellEnd"/>
            <w:r w:rsidRPr="00C91E52">
              <w:t xml:space="preserve"> within cell membrane,  formation of pores  which lead to cell death 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Polyene</w:t>
            </w:r>
            <w:proofErr w:type="spellEnd"/>
            <w:r w:rsidRPr="00C91E52">
              <w:t xml:space="preserve"> s </w:t>
            </w:r>
          </w:p>
        </w:tc>
        <w:tc>
          <w:tcPr>
            <w:tcW w:w="13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rPr>
                <w:b/>
                <w:bCs/>
              </w:rPr>
              <w:t xml:space="preserve">Cell membrane </w:t>
            </w:r>
          </w:p>
        </w:tc>
      </w:tr>
      <w:tr w:rsidR="00C91E52" w:rsidRPr="00C91E52" w:rsidTr="00892FB3">
        <w:trPr>
          <w:trHeight w:val="2161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C91E52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 xml:space="preserve">Not effective against </w:t>
            </w:r>
            <w:proofErr w:type="spellStart"/>
            <w:r w:rsidRPr="00C91E52">
              <w:t>zygomycosis</w:t>
            </w:r>
            <w:proofErr w:type="spellEnd"/>
            <w:r w:rsidRPr="00C91E52">
              <w:t xml:space="preserve"> (except </w:t>
            </w:r>
            <w:proofErr w:type="spellStart"/>
            <w:r w:rsidRPr="00C91E52">
              <w:t>posaconazole</w:t>
            </w:r>
            <w:proofErr w:type="spellEnd"/>
            <w:r w:rsidRPr="00C91E52">
              <w:t xml:space="preserve">) </w:t>
            </w:r>
          </w:p>
          <w:p w:rsidR="007C77FC" w:rsidRDefault="007C77FC" w:rsidP="00892FB3">
            <w:pPr>
              <w:bidi w:val="0"/>
              <w:spacing w:after="0" w:line="240" w:lineRule="auto"/>
              <w:contextualSpacing/>
            </w:pPr>
          </w:p>
          <w:p w:rsidR="00C91E52" w:rsidRPr="00C91E52" w:rsidRDefault="00C91E52" w:rsidP="00892FB3">
            <w:pPr>
              <w:bidi w:val="0"/>
              <w:spacing w:after="0" w:line="240" w:lineRule="auto"/>
              <w:contextualSpacing/>
              <w:rPr>
                <w:rtl/>
              </w:rPr>
            </w:pPr>
            <w:r w:rsidRPr="00C91E52">
              <w:t xml:space="preserve">Adverse Effects </w:t>
            </w:r>
          </w:p>
          <w:p w:rsidR="007C77FC" w:rsidRDefault="007C77FC" w:rsidP="00892FB3">
            <w:pPr>
              <w:bidi w:val="0"/>
              <w:spacing w:after="0" w:line="240" w:lineRule="auto"/>
              <w:contextualSpacing/>
            </w:pPr>
          </w:p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 xml:space="preserve">Drug Interactions 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C91E52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 xml:space="preserve">Variable </w:t>
            </w:r>
            <w:proofErr w:type="spellStart"/>
            <w:r w:rsidRPr="00C91E52">
              <w:t>antimycotic</w:t>
            </w:r>
            <w:proofErr w:type="spellEnd"/>
            <w:r w:rsidRPr="00C91E52">
              <w:t xml:space="preserve"> activity* </w:t>
            </w:r>
          </w:p>
          <w:p w:rsidR="00C91E52" w:rsidRPr="00C91E52" w:rsidRDefault="00C91E52" w:rsidP="00892FB3">
            <w:pPr>
              <w:bidi w:val="0"/>
              <w:spacing w:after="0" w:line="240" w:lineRule="auto"/>
              <w:contextualSpacing/>
              <w:rPr>
                <w:rtl/>
              </w:rPr>
            </w:pPr>
            <w:proofErr w:type="spellStart"/>
            <w:r w:rsidRPr="00C91E52">
              <w:rPr>
                <w:b/>
                <w:bCs/>
              </w:rPr>
              <w:t>Fluconazole</w:t>
            </w:r>
            <w:proofErr w:type="spellEnd"/>
            <w:r w:rsidRPr="00C91E52">
              <w:t xml:space="preserve"> has a limited or no activity against mould fungi</w:t>
            </w:r>
          </w:p>
          <w:p w:rsidR="00C91E52" w:rsidRPr="00C91E52" w:rsidRDefault="00C91E52" w:rsidP="00892FB3">
            <w:pPr>
              <w:bidi w:val="0"/>
              <w:spacing w:after="0" w:line="240" w:lineRule="auto"/>
              <w:contextualSpacing/>
              <w:rPr>
                <w:rtl/>
              </w:rPr>
            </w:pPr>
            <w:proofErr w:type="spellStart"/>
            <w:r w:rsidRPr="00C91E52">
              <w:rPr>
                <w:b/>
                <w:bCs/>
              </w:rPr>
              <w:t>Voriconazol</w:t>
            </w:r>
            <w:proofErr w:type="spellEnd"/>
            <w:r w:rsidRPr="00C91E52">
              <w:rPr>
                <w:b/>
                <w:bCs/>
              </w:rPr>
              <w:t xml:space="preserve"> </w:t>
            </w:r>
            <w:r w:rsidRPr="00C91E52">
              <w:t xml:space="preserve">is the drug of choice for </w:t>
            </w:r>
            <w:proofErr w:type="spellStart"/>
            <w:r w:rsidRPr="00C91E52">
              <w:t>Aspergillosis</w:t>
            </w:r>
            <w:proofErr w:type="spellEnd"/>
          </w:p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rPr>
                <w:b/>
                <w:bCs/>
              </w:rPr>
              <w:t>Posaconazole</w:t>
            </w:r>
            <w:proofErr w:type="spellEnd"/>
            <w:r w:rsidRPr="00C91E52">
              <w:t xml:space="preserve"> has a broader spectrum of activity than other azoles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C91E52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Ketoconazole</w:t>
            </w:r>
            <w:proofErr w:type="spellEnd"/>
            <w:r w:rsidRPr="00C91E52">
              <w:t xml:space="preserve"> </w:t>
            </w:r>
          </w:p>
          <w:p w:rsidR="00C91E52" w:rsidRPr="00C91E52" w:rsidRDefault="00C91E52" w:rsidP="00892FB3">
            <w:pPr>
              <w:bidi w:val="0"/>
              <w:spacing w:after="0" w:line="240" w:lineRule="auto"/>
              <w:contextualSpacing/>
              <w:rPr>
                <w:rtl/>
              </w:rPr>
            </w:pPr>
            <w:proofErr w:type="spellStart"/>
            <w:r w:rsidRPr="00C91E52">
              <w:t>Itraconazole</w:t>
            </w:r>
            <w:proofErr w:type="spellEnd"/>
            <w:r w:rsidRPr="00C91E52">
              <w:t xml:space="preserve"> </w:t>
            </w:r>
          </w:p>
          <w:p w:rsidR="00C91E52" w:rsidRPr="00C91E52" w:rsidRDefault="00C91E52" w:rsidP="00892FB3">
            <w:pPr>
              <w:bidi w:val="0"/>
              <w:spacing w:after="0" w:line="240" w:lineRule="auto"/>
              <w:contextualSpacing/>
              <w:rPr>
                <w:rtl/>
              </w:rPr>
            </w:pPr>
            <w:proofErr w:type="spellStart"/>
            <w:r w:rsidRPr="00C91E52">
              <w:t>Fluconazole</w:t>
            </w:r>
            <w:proofErr w:type="spellEnd"/>
            <w:r w:rsidRPr="00C91E52">
              <w:t xml:space="preserve"> </w:t>
            </w:r>
          </w:p>
          <w:p w:rsidR="00C91E52" w:rsidRPr="00C91E52" w:rsidRDefault="00C91E52" w:rsidP="00892FB3">
            <w:pPr>
              <w:bidi w:val="0"/>
              <w:spacing w:after="0" w:line="240" w:lineRule="auto"/>
              <w:contextualSpacing/>
              <w:rPr>
                <w:rtl/>
              </w:rPr>
            </w:pPr>
            <w:proofErr w:type="spellStart"/>
            <w:r w:rsidRPr="00C91E52">
              <w:t>Voriconazole</w:t>
            </w:r>
            <w:proofErr w:type="spellEnd"/>
            <w:r w:rsidRPr="00C91E52">
              <w:t xml:space="preserve"> </w:t>
            </w:r>
          </w:p>
          <w:p w:rsidR="00C91E52" w:rsidRPr="00C91E52" w:rsidRDefault="00C91E52" w:rsidP="00892FB3">
            <w:pPr>
              <w:bidi w:val="0"/>
              <w:spacing w:after="0" w:line="240" w:lineRule="auto"/>
              <w:contextualSpacing/>
              <w:rPr>
                <w:rtl/>
              </w:rPr>
            </w:pPr>
            <w:proofErr w:type="spellStart"/>
            <w:r w:rsidRPr="00C91E52">
              <w:t>Posaconazole</w:t>
            </w:r>
            <w:proofErr w:type="spellEnd"/>
            <w:r w:rsidRPr="00C91E52">
              <w:t xml:space="preserve"> </w:t>
            </w:r>
          </w:p>
          <w:p w:rsidR="00C91E52" w:rsidRPr="00C91E52" w:rsidRDefault="00C91E52" w:rsidP="00892FB3">
            <w:pPr>
              <w:bidi w:val="0"/>
              <w:spacing w:after="0" w:line="240" w:lineRule="auto"/>
              <w:contextualSpacing/>
              <w:rPr>
                <w:rtl/>
              </w:rPr>
            </w:pPr>
            <w:r w:rsidRPr="00C91E52">
              <w:t xml:space="preserve"> </w:t>
            </w:r>
            <w:proofErr w:type="spellStart"/>
            <w:r w:rsidRPr="00C91E52">
              <w:t>Miconazole</w:t>
            </w:r>
            <w:proofErr w:type="spellEnd"/>
            <w:r w:rsidRPr="00C91E52">
              <w:t xml:space="preserve"> </w:t>
            </w:r>
          </w:p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clotrimazole</w:t>
            </w:r>
            <w:proofErr w:type="spellEnd"/>
            <w:r w:rsidRPr="00C91E52">
              <w:t xml:space="preserve">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 xml:space="preserve">Inhibit the synthesis of </w:t>
            </w:r>
            <w:proofErr w:type="spellStart"/>
            <w:r w:rsidRPr="00C91E52">
              <w:t>ergosterol</w:t>
            </w:r>
            <w:proofErr w:type="spellEnd"/>
            <w:r w:rsidRPr="00C91E52">
              <w:t xml:space="preserve">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Azole</w:t>
            </w:r>
            <w:proofErr w:type="spellEnd"/>
            <w:r w:rsidRPr="00C91E52">
              <w:t xml:space="preserve"> s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91E52" w:rsidRPr="00C91E52" w:rsidRDefault="00C91E52" w:rsidP="00892FB3">
            <w:pPr>
              <w:bidi w:val="0"/>
              <w:spacing w:after="0" w:line="240" w:lineRule="auto"/>
              <w:contextualSpacing/>
            </w:pPr>
          </w:p>
        </w:tc>
      </w:tr>
      <w:tr w:rsidR="00C91E52" w:rsidRPr="00C91E52" w:rsidTr="00892FB3">
        <w:trPr>
          <w:trHeight w:val="1756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 xml:space="preserve">Safer than </w:t>
            </w:r>
            <w:proofErr w:type="spellStart"/>
            <w:r w:rsidRPr="00C91E52">
              <w:t>amphotericin</w:t>
            </w:r>
            <w:proofErr w:type="spellEnd"/>
            <w:r w:rsidRPr="00C91E52">
              <w:t xml:space="preserve"> B and azoles 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C91E52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>Good activity against</w:t>
            </w:r>
          </w:p>
          <w:p w:rsidR="00C91E52" w:rsidRPr="00C91E52" w:rsidRDefault="00C91E52" w:rsidP="00892FB3">
            <w:pPr>
              <w:bidi w:val="0"/>
              <w:spacing w:after="0" w:line="240" w:lineRule="auto"/>
              <w:contextualSpacing/>
              <w:rPr>
                <w:rtl/>
              </w:rPr>
            </w:pPr>
            <w:r w:rsidRPr="00C91E52">
              <w:rPr>
                <w:i/>
                <w:iCs/>
              </w:rPr>
              <w:t xml:space="preserve">Candida </w:t>
            </w:r>
            <w:proofErr w:type="spellStart"/>
            <w:r w:rsidRPr="00C91E52">
              <w:rPr>
                <w:i/>
                <w:iCs/>
              </w:rPr>
              <w:t>spp</w:t>
            </w:r>
            <w:proofErr w:type="spellEnd"/>
            <w:r w:rsidRPr="00C91E52">
              <w:rPr>
                <w:i/>
                <w:iCs/>
              </w:rPr>
              <w:t xml:space="preserve"> </w:t>
            </w:r>
            <w:r w:rsidRPr="00C91E52">
              <w:t>,</w:t>
            </w:r>
            <w:proofErr w:type="spellStart"/>
            <w:r w:rsidRPr="00C91E52">
              <w:rPr>
                <w:i/>
                <w:iCs/>
              </w:rPr>
              <w:t>Aspergillus</w:t>
            </w:r>
            <w:proofErr w:type="spellEnd"/>
            <w:r w:rsidRPr="00C91E52">
              <w:rPr>
                <w:i/>
                <w:iCs/>
              </w:rPr>
              <w:t xml:space="preserve"> </w:t>
            </w:r>
            <w:proofErr w:type="spellStart"/>
            <w:r w:rsidRPr="00C91E52">
              <w:rPr>
                <w:i/>
                <w:iCs/>
              </w:rPr>
              <w:t>spp</w:t>
            </w:r>
            <w:proofErr w:type="spellEnd"/>
            <w:r w:rsidRPr="00C91E52">
              <w:t xml:space="preserve"> </w:t>
            </w:r>
          </w:p>
          <w:p w:rsidR="007C77FC" w:rsidRDefault="007C77FC" w:rsidP="00892FB3">
            <w:pPr>
              <w:bidi w:val="0"/>
              <w:spacing w:after="0" w:line="240" w:lineRule="auto"/>
              <w:contextualSpacing/>
            </w:pPr>
          </w:p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 xml:space="preserve">Limited  or no activity against other fungi 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C91E52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Caspofungin</w:t>
            </w:r>
            <w:proofErr w:type="spellEnd"/>
          </w:p>
          <w:p w:rsidR="00C91E52" w:rsidRPr="00C91E52" w:rsidRDefault="00C91E52" w:rsidP="00892FB3">
            <w:pPr>
              <w:bidi w:val="0"/>
              <w:spacing w:after="0" w:line="240" w:lineRule="auto"/>
              <w:contextualSpacing/>
              <w:rPr>
                <w:rtl/>
              </w:rPr>
            </w:pPr>
            <w:r w:rsidRPr="00C91E52">
              <w:t xml:space="preserve"> </w:t>
            </w:r>
            <w:proofErr w:type="spellStart"/>
            <w:r w:rsidRPr="00C91E52">
              <w:t>Micafungin</w:t>
            </w:r>
            <w:proofErr w:type="spellEnd"/>
          </w:p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Anidulafungin</w:t>
            </w:r>
            <w:proofErr w:type="spellEnd"/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7C77FC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 xml:space="preserve">Inhibits </w:t>
            </w:r>
            <w:proofErr w:type="spellStart"/>
            <w:r w:rsidRPr="00C91E52">
              <w:t>glucan</w:t>
            </w:r>
            <w:proofErr w:type="spellEnd"/>
            <w:r w:rsidRPr="00C91E52">
              <w:t xml:space="preserve"> </w:t>
            </w:r>
            <w:proofErr w:type="spellStart"/>
            <w:r w:rsidRPr="00C91E52">
              <w:t>synthas</w:t>
            </w:r>
            <w:r w:rsidR="007C77FC">
              <w:t>is</w:t>
            </w:r>
            <w:proofErr w:type="spellEnd"/>
            <w:r w:rsidRPr="00C91E52">
              <w:t xml:space="preserve">, </w:t>
            </w:r>
          </w:p>
          <w:p w:rsidR="00000000" w:rsidRPr="00C91E52" w:rsidRDefault="007C77FC" w:rsidP="00892FB3">
            <w:pPr>
              <w:bidi w:val="0"/>
              <w:spacing w:after="0" w:line="240" w:lineRule="auto"/>
              <w:contextualSpacing/>
            </w:pPr>
            <w:r>
              <w:t>(</w:t>
            </w:r>
            <w:proofErr w:type="spellStart"/>
            <w:r w:rsidR="00C91E52" w:rsidRPr="00C91E52">
              <w:t>glucan</w:t>
            </w:r>
            <w:proofErr w:type="spellEnd"/>
            <w:r w:rsidR="00C91E52" w:rsidRPr="00C91E52">
              <w:t xml:space="preserve"> polymers in the fungal cell wall</w:t>
            </w:r>
            <w:r>
              <w:t>)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Echinocandins</w:t>
            </w:r>
            <w:proofErr w:type="spellEnd"/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rPr>
                <w:b/>
                <w:bCs/>
              </w:rPr>
              <w:t>Cell wall</w:t>
            </w:r>
            <w:r w:rsidRPr="00C91E52">
              <w:t xml:space="preserve"> </w:t>
            </w:r>
          </w:p>
        </w:tc>
      </w:tr>
      <w:tr w:rsidR="00C91E52" w:rsidRPr="00C91E52" w:rsidTr="00892FB3">
        <w:trPr>
          <w:trHeight w:val="1487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rPr>
                <w:lang w:val="en-GB"/>
              </w:rPr>
              <w:t>Monotherapy</w:t>
            </w:r>
            <w:proofErr w:type="spellEnd"/>
            <w:r w:rsidRPr="00C91E52">
              <w:rPr>
                <w:lang w:val="en-GB"/>
              </w:rPr>
              <w:t xml:space="preserve"> now limited (</w:t>
            </w:r>
            <w:r w:rsidRPr="00C91E52">
              <w:t xml:space="preserve">Resistance) 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C91E52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rPr>
                <w:lang w:val="en-GB"/>
              </w:rPr>
              <w:t>Restricted spectrum of activity</w:t>
            </w:r>
            <w:r w:rsidRPr="00C91E52">
              <w:t xml:space="preserve"> </w:t>
            </w:r>
          </w:p>
          <w:p w:rsidR="00C91E52" w:rsidRPr="00C91E52" w:rsidRDefault="00C91E52" w:rsidP="00892FB3">
            <w:pPr>
              <w:bidi w:val="0"/>
              <w:spacing w:after="0" w:line="240" w:lineRule="auto"/>
              <w:ind w:left="720"/>
              <w:contextualSpacing/>
              <w:rPr>
                <w:rtl/>
              </w:rPr>
            </w:pPr>
            <w:r w:rsidRPr="00C91E52">
              <w:rPr>
                <w:i/>
                <w:iCs/>
              </w:rPr>
              <w:t>Candida</w:t>
            </w:r>
            <w:r w:rsidRPr="00C91E52">
              <w:t xml:space="preserve"> species</w:t>
            </w:r>
            <w:r w:rsidRPr="00C91E52">
              <w:rPr>
                <w:i/>
                <w:iCs/>
              </w:rPr>
              <w:t xml:space="preserve"> </w:t>
            </w:r>
          </w:p>
          <w:p w:rsidR="00000000" w:rsidRPr="00C91E52" w:rsidRDefault="00C91E52" w:rsidP="00892FB3">
            <w:pPr>
              <w:bidi w:val="0"/>
              <w:spacing w:after="0" w:line="240" w:lineRule="auto"/>
              <w:ind w:left="720"/>
              <w:contextualSpacing/>
            </w:pPr>
            <w:r w:rsidRPr="00C91E52">
              <w:rPr>
                <w:i/>
                <w:iCs/>
              </w:rPr>
              <w:t xml:space="preserve">Cryptococcus </w:t>
            </w:r>
            <w:proofErr w:type="spellStart"/>
            <w:r w:rsidRPr="00C91E52">
              <w:rPr>
                <w:i/>
                <w:iCs/>
              </w:rPr>
              <w:t>neoformans</w:t>
            </w:r>
            <w:proofErr w:type="spellEnd"/>
            <w:r w:rsidRPr="00C91E52">
              <w:rPr>
                <w:i/>
                <w:iCs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Flucytosine</w:t>
            </w:r>
            <w:proofErr w:type="spellEnd"/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C91E52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>Fungal RNA miscoding</w:t>
            </w:r>
          </w:p>
          <w:p w:rsidR="007C77FC" w:rsidRDefault="007C77FC" w:rsidP="00892FB3">
            <w:pPr>
              <w:bidi w:val="0"/>
              <w:spacing w:after="0" w:line="240" w:lineRule="auto"/>
              <w:contextualSpacing/>
            </w:pPr>
          </w:p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t>Interfering with DNA synthesis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proofErr w:type="spellStart"/>
            <w:r w:rsidRPr="00C91E52">
              <w:t>Pyrimidine</w:t>
            </w:r>
            <w:proofErr w:type="spellEnd"/>
            <w:r w:rsidRPr="00C91E52">
              <w:t xml:space="preserve"> analogues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000000" w:rsidRPr="00C91E52" w:rsidRDefault="00C91E52" w:rsidP="00892FB3">
            <w:pPr>
              <w:bidi w:val="0"/>
              <w:spacing w:after="0" w:line="240" w:lineRule="auto"/>
              <w:contextualSpacing/>
            </w:pPr>
            <w:r w:rsidRPr="00C91E52">
              <w:rPr>
                <w:b/>
                <w:bCs/>
              </w:rPr>
              <w:t>DNA/RNA synthesis</w:t>
            </w:r>
            <w:r w:rsidRPr="00C91E52">
              <w:t xml:space="preserve"> </w:t>
            </w:r>
          </w:p>
        </w:tc>
      </w:tr>
    </w:tbl>
    <w:p w:rsidR="00417B18" w:rsidRPr="00892FB3" w:rsidRDefault="00892FB3" w:rsidP="00892FB3">
      <w:pPr>
        <w:bidi w:val="0"/>
        <w:rPr>
          <w:b/>
          <w:bCs/>
          <w:sz w:val="24"/>
          <w:szCs w:val="24"/>
        </w:rPr>
      </w:pPr>
      <w:r w:rsidRPr="00892FB3">
        <w:rPr>
          <w:b/>
          <w:bCs/>
          <w:sz w:val="24"/>
          <w:szCs w:val="24"/>
        </w:rPr>
        <w:t>Anti fungal agents</w:t>
      </w:r>
    </w:p>
    <w:sectPr w:rsidR="00417B18" w:rsidRPr="00892FB3" w:rsidSect="00C91E5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91E52"/>
    <w:rsid w:val="00417B18"/>
    <w:rsid w:val="00427C59"/>
    <w:rsid w:val="005C145F"/>
    <w:rsid w:val="007C77FC"/>
    <w:rsid w:val="008656F8"/>
    <w:rsid w:val="00892FB3"/>
    <w:rsid w:val="00C91E52"/>
    <w:rsid w:val="00D9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1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Al-Hedaithy</dc:creator>
  <cp:keywords/>
  <dc:description/>
  <cp:lastModifiedBy>Prof. Al-Hedaithy</cp:lastModifiedBy>
  <cp:revision>4</cp:revision>
  <cp:lastPrinted>2011-10-26T06:35:00Z</cp:lastPrinted>
  <dcterms:created xsi:type="dcterms:W3CDTF">2011-10-26T06:29:00Z</dcterms:created>
  <dcterms:modified xsi:type="dcterms:W3CDTF">2011-10-26T06:42:00Z</dcterms:modified>
</cp:coreProperties>
</file>