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5" w:rsidRPr="006859CB" w:rsidRDefault="001B4AA5">
      <w:pPr>
        <w:rPr>
          <w:rFonts w:ascii="Footlight MT Light" w:hAnsi="Footlight MT Light"/>
          <w:sz w:val="32"/>
          <w:szCs w:val="32"/>
        </w:rPr>
      </w:pPr>
      <w:bookmarkStart w:id="0" w:name="_GoBack"/>
      <w:bookmarkEnd w:id="0"/>
    </w:p>
    <w:p w:rsidR="006859CB" w:rsidRPr="00F77CA6" w:rsidRDefault="006859CB" w:rsidP="00017601">
      <w:pPr>
        <w:rPr>
          <w:rFonts w:ascii="Footlight MT Light" w:hAnsi="Footlight MT Light"/>
          <w:b/>
          <w:bCs/>
          <w:sz w:val="32"/>
          <w:szCs w:val="32"/>
        </w:rPr>
      </w:pPr>
      <w:r w:rsidRPr="00F77CA6">
        <w:rPr>
          <w:rFonts w:ascii="Footlight MT Light" w:hAnsi="Footlight MT Light"/>
          <w:b/>
          <w:bCs/>
          <w:sz w:val="32"/>
          <w:szCs w:val="32"/>
        </w:rPr>
        <w:t>Classes of Antibiot</w:t>
      </w:r>
      <w:r w:rsidR="00F77CA6">
        <w:rPr>
          <w:rFonts w:ascii="Footlight MT Light" w:hAnsi="Footlight MT Light"/>
          <w:b/>
          <w:bCs/>
          <w:sz w:val="32"/>
          <w:szCs w:val="32"/>
        </w:rPr>
        <w:t>i</w:t>
      </w:r>
      <w:r w:rsidRPr="00F77CA6">
        <w:rPr>
          <w:rFonts w:ascii="Footlight MT Light" w:hAnsi="Footlight MT Light"/>
          <w:b/>
          <w:bCs/>
          <w:sz w:val="32"/>
          <w:szCs w:val="32"/>
        </w:rPr>
        <w:t>cs-Mechanism of Action and Spectrums of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560"/>
        <w:gridCol w:w="2561"/>
        <w:gridCol w:w="2564"/>
        <w:gridCol w:w="2595"/>
      </w:tblGrid>
      <w:tr w:rsidR="006859CB" w:rsidTr="00F77CA6">
        <w:tc>
          <w:tcPr>
            <w:tcW w:w="2896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2560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561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Mechanisms</w:t>
            </w:r>
          </w:p>
        </w:tc>
        <w:tc>
          <w:tcPr>
            <w:tcW w:w="2564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595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6859CB" w:rsidTr="00F4609E">
        <w:tc>
          <w:tcPr>
            <w:tcW w:w="13176" w:type="dxa"/>
            <w:gridSpan w:val="5"/>
          </w:tcPr>
          <w:p w:rsidR="006859CB" w:rsidRPr="006859CB" w:rsidRDefault="006859CB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CELL WALL</w:t>
            </w:r>
          </w:p>
        </w:tc>
      </w:tr>
      <w:tr w:rsidR="00F77CA6" w:rsidTr="00F77CA6">
        <w:tc>
          <w:tcPr>
            <w:tcW w:w="2896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Penicillins</w:t>
            </w:r>
          </w:p>
        </w:tc>
        <w:tc>
          <w:tcPr>
            <w:tcW w:w="2560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Natural; </w:t>
            </w:r>
            <w:r w:rsidRPr="00886036">
              <w:rPr>
                <w:rFonts w:ascii="Footlight MT Light" w:hAnsi="Footlight MT Light"/>
                <w:sz w:val="32"/>
                <w:szCs w:val="32"/>
                <w:highlight w:val="yellow"/>
              </w:rPr>
              <w:t>penicillin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G Semi-synthetic: oxacillin, </w:t>
            </w:r>
            <w:r w:rsidRPr="00886036">
              <w:rPr>
                <w:rFonts w:ascii="Footlight MT Light" w:hAnsi="Footlight MT Light"/>
                <w:sz w:val="32"/>
                <w:szCs w:val="32"/>
                <w:highlight w:val="yellow"/>
              </w:rPr>
              <w:t>ampicillin</w:t>
            </w:r>
            <w:r>
              <w:rPr>
                <w:rFonts w:ascii="Footlight MT Light" w:hAnsi="Footlight MT Light"/>
                <w:sz w:val="32"/>
                <w:szCs w:val="32"/>
              </w:rPr>
              <w:t>-clavulanic acid, ampicillin-sulbactam</w:t>
            </w:r>
          </w:p>
          <w:p w:rsidR="002235CA" w:rsidRDefault="002235CA">
            <w:pPr>
              <w:rPr>
                <w:rFonts w:ascii="Footlight MT Light" w:hAnsi="Footlight MT Light"/>
                <w:sz w:val="32"/>
                <w:szCs w:val="32"/>
              </w:rPr>
            </w:pPr>
            <w:r w:rsidRPr="00886036">
              <w:rPr>
                <w:rFonts w:ascii="Footlight MT Light" w:hAnsi="Footlight MT Light"/>
                <w:sz w:val="32"/>
                <w:szCs w:val="32"/>
                <w:highlight w:val="yellow"/>
              </w:rPr>
              <w:t>Pipracillin</w:t>
            </w:r>
          </w:p>
        </w:tc>
        <w:tc>
          <w:tcPr>
            <w:tcW w:w="2561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Inhibit peptoglycan synthesis necessary for cell-wall formation</w:t>
            </w: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Bactericidal-most active against gram +; synthetic and potentiated penicillin have improved gram – coverage</w:t>
            </w:r>
          </w:p>
        </w:tc>
        <w:tc>
          <w:tcPr>
            <w:tcW w:w="2595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242DC9">
              <w:rPr>
                <w:rFonts w:ascii="Footlight MT Light" w:hAnsi="Footlight MT Light"/>
                <w:sz w:val="32"/>
                <w:szCs w:val="32"/>
                <w:highlight w:val="red"/>
              </w:rPr>
              <w:t>Hypersensitive,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anaphylaxis</w:t>
            </w: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F77CA6" w:rsidTr="00DB1089">
        <w:trPr>
          <w:trHeight w:val="3383"/>
        </w:trPr>
        <w:tc>
          <w:tcPr>
            <w:tcW w:w="2896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CEPHALOSPHORINS </w:t>
            </w:r>
          </w:p>
        </w:tc>
        <w:tc>
          <w:tcPr>
            <w:tcW w:w="2560" w:type="dxa"/>
          </w:tcPr>
          <w:p w:rsidR="00F77CA6" w:rsidRPr="00886036" w:rsidRDefault="00F77CA6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cephalothin, </w:t>
            </w:r>
            <w:r w:rsidRPr="00886036">
              <w:rPr>
                <w:rFonts w:ascii="Footlight MT Light" w:hAnsi="Footlight MT Light"/>
                <w:sz w:val="32"/>
                <w:szCs w:val="32"/>
                <w:highlight w:val="yellow"/>
              </w:rPr>
              <w:t>cephalexin,</w:t>
            </w:r>
          </w:p>
          <w:p w:rsidR="00F77CA6" w:rsidRPr="00F77CA6" w:rsidRDefault="00F77CA6">
            <w:pPr>
              <w:rPr>
                <w:rFonts w:ascii="Footlight MT Light" w:hAnsi="Footlight MT Light"/>
                <w:sz w:val="32"/>
                <w:szCs w:val="32"/>
                <w:u w:val="single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886036">
              <w:rPr>
                <w:rFonts w:ascii="Footlight MT Light" w:hAnsi="Footlight MT Light"/>
                <w:sz w:val="32"/>
                <w:szCs w:val="32"/>
                <w:highlight w:val="yellow"/>
              </w:rPr>
              <w:t>Cefuroxime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Pr="00886036">
              <w:rPr>
                <w:rFonts w:ascii="Footlight MT Light" w:hAnsi="Footlight MT Light"/>
                <w:sz w:val="32"/>
                <w:szCs w:val="32"/>
                <w:highlight w:val="yellow"/>
              </w:rPr>
              <w:t>ceftriaxone,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ceftazidime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4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th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cefepime </w:t>
            </w:r>
          </w:p>
        </w:tc>
        <w:tc>
          <w:tcPr>
            <w:tcW w:w="2561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Bactericidal 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Gram +, limited Gram  -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Gram+, improved Gram – and some anaerobes.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limited Gram+, excellent Gram- and anaerobes</w:t>
            </w:r>
          </w:p>
        </w:tc>
        <w:tc>
          <w:tcPr>
            <w:tcW w:w="2595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DB1089" w:rsidTr="00F77CA6">
        <w:tc>
          <w:tcPr>
            <w:tcW w:w="2896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Glycopeptides </w:t>
            </w:r>
          </w:p>
        </w:tc>
        <w:tc>
          <w:tcPr>
            <w:tcW w:w="2560" w:type="dxa"/>
          </w:tcPr>
          <w:p w:rsidR="00DB1089" w:rsidRPr="003C0840" w:rsidRDefault="00DB1089" w:rsidP="00663535">
            <w:pPr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</w:pPr>
            <w:r w:rsidRPr="003C0840">
              <w:rPr>
                <w:rFonts w:ascii="Footlight MT Light" w:hAnsi="Footlight MT Light"/>
                <w:color w:val="FFFFFF" w:themeColor="background1"/>
                <w:sz w:val="32"/>
                <w:szCs w:val="32"/>
                <w:highlight w:val="blue"/>
              </w:rPr>
              <w:t>Vancomycin</w:t>
            </w:r>
            <w:r w:rsidRPr="003C0840"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561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Inhibit Peptidoglycan synthesis </w:t>
            </w:r>
          </w:p>
        </w:tc>
        <w:tc>
          <w:tcPr>
            <w:tcW w:w="2564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Bacteriocidal; Gram+ve bacteria only MRSA</w:t>
            </w:r>
          </w:p>
        </w:tc>
        <w:tc>
          <w:tcPr>
            <w:tcW w:w="2595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 w:rsidRPr="00886036">
              <w:rPr>
                <w:rFonts w:ascii="Footlight MT Light" w:hAnsi="Footlight MT Light"/>
                <w:sz w:val="32"/>
                <w:szCs w:val="32"/>
                <w:highlight w:val="yellow"/>
              </w:rPr>
              <w:t>Red man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syndrome </w:t>
            </w:r>
          </w:p>
          <w:p w:rsidR="00DB1089" w:rsidRDefault="00DB1089" w:rsidP="00DB1089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Nepro and ototoxicity </w:t>
            </w:r>
          </w:p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</w:tbl>
    <w:p w:rsidR="006859CB" w:rsidRDefault="006859CB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69"/>
        <w:gridCol w:w="2341"/>
        <w:gridCol w:w="3244"/>
        <w:gridCol w:w="2452"/>
      </w:tblGrid>
      <w:tr w:rsidR="00DB1089" w:rsidTr="00663535">
        <w:tc>
          <w:tcPr>
            <w:tcW w:w="13176" w:type="dxa"/>
            <w:gridSpan w:val="5"/>
          </w:tcPr>
          <w:p w:rsidR="00DB1089" w:rsidRPr="00F77CA6" w:rsidRDefault="00DB1089" w:rsidP="00DB1089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cell Membrane</w:t>
            </w: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B1089" w:rsidTr="00663535">
        <w:tc>
          <w:tcPr>
            <w:tcW w:w="2570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 w:rsidRPr="00DB1089">
              <w:rPr>
                <w:rFonts w:ascii="Footlight MT Light" w:hAnsi="Footlight MT Light"/>
                <w:sz w:val="32"/>
                <w:szCs w:val="32"/>
                <w:highlight w:val="yellow"/>
              </w:rPr>
              <w:t>Polymyxin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9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red"/>
              </w:rPr>
              <w:t>Colistin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341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Alter cell memnrano permeability </w:t>
            </w:r>
          </w:p>
        </w:tc>
        <w:tc>
          <w:tcPr>
            <w:tcW w:w="3244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Bacteriocidal; Gram-ve bacteria</w:t>
            </w:r>
          </w:p>
        </w:tc>
        <w:tc>
          <w:tcPr>
            <w:tcW w:w="2452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 w:rsidRPr="00242DC9">
              <w:rPr>
                <w:rFonts w:ascii="Footlight MT Light" w:hAnsi="Footlight MT Light"/>
                <w:sz w:val="32"/>
                <w:szCs w:val="32"/>
                <w:highlight w:val="red"/>
              </w:rPr>
              <w:t>Nephrotoxicity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69"/>
        <w:gridCol w:w="2341"/>
        <w:gridCol w:w="3244"/>
        <w:gridCol w:w="2452"/>
      </w:tblGrid>
      <w:tr w:rsidR="00F77CA6" w:rsidTr="00F576C3">
        <w:tc>
          <w:tcPr>
            <w:tcW w:w="13176" w:type="dxa"/>
            <w:gridSpan w:val="5"/>
          </w:tcPr>
          <w:p w:rsidR="00F77CA6" w:rsidRPr="00F77CA6" w:rsidRDefault="00F77CA6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protein synthesis </w:t>
            </w:r>
            <w:r w:rsidR="00DB1089">
              <w:rPr>
                <w:rFonts w:ascii="Footlight MT Light" w:hAnsi="Footlight MT Light"/>
                <w:b/>
                <w:bCs/>
                <w:sz w:val="32"/>
                <w:szCs w:val="32"/>
              </w:rPr>
              <w:t>(Ribosome)</w:t>
            </w:r>
          </w:p>
        </w:tc>
      </w:tr>
      <w:tr w:rsidR="009A15F4" w:rsidTr="00DB1089">
        <w:tc>
          <w:tcPr>
            <w:tcW w:w="2570" w:type="dxa"/>
          </w:tcPr>
          <w:p w:rsidR="00F77CA6" w:rsidRPr="003C0840" w:rsidRDefault="00F77CA6" w:rsidP="00F77CA6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yellow"/>
              </w:rPr>
              <w:t xml:space="preserve">Aminoglycosides </w:t>
            </w:r>
          </w:p>
        </w:tc>
        <w:tc>
          <w:tcPr>
            <w:tcW w:w="2569" w:type="dxa"/>
          </w:tcPr>
          <w:p w:rsidR="00F77CA6" w:rsidRPr="003C0840" w:rsidRDefault="00F77CA6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242DC9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Gentamicin, amikacin, tobramycin, neomycin </w:t>
            </w:r>
          </w:p>
        </w:tc>
        <w:tc>
          <w:tcPr>
            <w:tcW w:w="2341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30S ribosomal subunit; inhibit peptide elongation</w:t>
            </w:r>
          </w:p>
        </w:tc>
        <w:tc>
          <w:tcPr>
            <w:tcW w:w="3244" w:type="dxa"/>
          </w:tcPr>
          <w:p w:rsidR="00F77CA6" w:rsidRDefault="00F77CA6" w:rsidP="009A15F4">
            <w:pPr>
              <w:rPr>
                <w:rFonts w:ascii="Footlight MT Light" w:hAnsi="Footlight MT Light"/>
                <w:sz w:val="32"/>
                <w:szCs w:val="32"/>
              </w:rPr>
            </w:pPr>
            <w:r w:rsidRPr="00DB1089">
              <w:rPr>
                <w:rFonts w:ascii="Footlight MT Light" w:hAnsi="Footlight MT Light"/>
                <w:sz w:val="32"/>
                <w:szCs w:val="32"/>
                <w:highlight w:val="yellow"/>
              </w:rPr>
              <w:t>Bactericidal</w:t>
            </w:r>
            <w:r>
              <w:rPr>
                <w:rFonts w:ascii="Footlight MT Light" w:hAnsi="Footlight MT Light"/>
                <w:sz w:val="32"/>
                <w:szCs w:val="32"/>
              </w:rPr>
              <w:t>; Gram-, including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Pseudomonas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and M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ycobacterium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, </w:t>
            </w:r>
            <w:r w:rsidR="009A15F4">
              <w:rPr>
                <w:rFonts w:ascii="Footlight MT Light" w:hAnsi="Footlight MT Light"/>
                <w:sz w:val="32"/>
                <w:szCs w:val="32"/>
              </w:rPr>
              <w:t>S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treptococcus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and anaerobes are resistant </w:t>
            </w:r>
          </w:p>
        </w:tc>
        <w:tc>
          <w:tcPr>
            <w:tcW w:w="2452" w:type="dxa"/>
          </w:tcPr>
          <w:p w:rsidR="00F77CA6" w:rsidRPr="00242DC9" w:rsidRDefault="009A15F4">
            <w:pPr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242DC9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Ototoxicity </w:t>
            </w:r>
            <w:r w:rsidR="00DB1089" w:rsidRPr="00242DC9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snd</w:t>
            </w:r>
          </w:p>
          <w:p w:rsidR="00DB1089" w:rsidRDefault="00DB1089">
            <w:pPr>
              <w:rPr>
                <w:rFonts w:ascii="Footlight MT Light" w:hAnsi="Footlight MT Light"/>
                <w:sz w:val="32"/>
                <w:szCs w:val="32"/>
              </w:rPr>
            </w:pPr>
            <w:r w:rsidRPr="00242DC9">
              <w:rPr>
                <w:rFonts w:ascii="Footlight MT Light" w:hAnsi="Footlight MT Light"/>
                <w:sz w:val="32"/>
                <w:szCs w:val="32"/>
                <w:highlight w:val="red"/>
              </w:rPr>
              <w:t>Nephrotoxicity</w:t>
            </w:r>
          </w:p>
        </w:tc>
      </w:tr>
      <w:tr w:rsidR="009A15F4" w:rsidTr="00DB1089">
        <w:tc>
          <w:tcPr>
            <w:tcW w:w="2570" w:type="dxa"/>
          </w:tcPr>
          <w:p w:rsidR="00F77CA6" w:rsidRPr="003C0840" w:rsidRDefault="009A15F4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3C0840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Tetracyclines </w:t>
            </w:r>
          </w:p>
        </w:tc>
        <w:tc>
          <w:tcPr>
            <w:tcW w:w="2569" w:type="dxa"/>
          </w:tcPr>
          <w:p w:rsidR="00F77CA6" w:rsidRPr="003C0840" w:rsidRDefault="009A15F4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3C0840">
              <w:rPr>
                <w:rFonts w:ascii="Footlight MT Light" w:hAnsi="Footlight MT Light"/>
                <w:color w:val="FF0000"/>
                <w:sz w:val="32"/>
                <w:szCs w:val="32"/>
              </w:rPr>
              <w:t>Tetracyclines, doxycycline</w:t>
            </w:r>
          </w:p>
        </w:tc>
        <w:tc>
          <w:tcPr>
            <w:tcW w:w="2341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30S subunit; inhibit RNA function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Bacteriostatic; Gram+ and Gram -; </w:t>
            </w:r>
            <w:r w:rsidRPr="003C0840">
              <w:rPr>
                <w:rFonts w:ascii="Footlight MT Light" w:hAnsi="Footlight MT Light"/>
                <w:i/>
                <w:iCs/>
                <w:sz w:val="32"/>
                <w:szCs w:val="32"/>
                <w:highlight w:val="yellow"/>
              </w:rPr>
              <w:t>Rickettsiae, Mycoplasma, Clamydophila</w:t>
            </w:r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Teeth discoloration 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photosensitivity</w:t>
            </w:r>
          </w:p>
        </w:tc>
      </w:tr>
      <w:tr w:rsidR="009A15F4" w:rsidTr="00DB1089">
        <w:tc>
          <w:tcPr>
            <w:tcW w:w="2570" w:type="dxa"/>
          </w:tcPr>
          <w:p w:rsidR="00F77CA6" w:rsidRPr="003C0840" w:rsidRDefault="009A15F4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3C0840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Chloramphenicol </w:t>
            </w:r>
          </w:p>
        </w:tc>
        <w:tc>
          <w:tcPr>
            <w:tcW w:w="2569" w:type="dxa"/>
          </w:tcPr>
          <w:p w:rsidR="00F77CA6" w:rsidRPr="003C0840" w:rsidRDefault="009A15F4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3C0840">
              <w:rPr>
                <w:rFonts w:ascii="Footlight MT Light" w:hAnsi="Footlight MT Light"/>
                <w:color w:val="FF0000"/>
                <w:sz w:val="32"/>
                <w:szCs w:val="32"/>
              </w:rPr>
              <w:t>Chloramphenicol</w:t>
            </w:r>
          </w:p>
        </w:tc>
        <w:tc>
          <w:tcPr>
            <w:tcW w:w="2341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Bind 50S subunit, inhibit protein synthesis 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Bacteriostatic; broad Gram+ and Gram- spectrum</w:t>
            </w:r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BM a plastic anemia </w:t>
            </w:r>
          </w:p>
        </w:tc>
      </w:tr>
      <w:tr w:rsidR="009A15F4" w:rsidTr="00DB1089">
        <w:tc>
          <w:tcPr>
            <w:tcW w:w="2570" w:type="dxa"/>
          </w:tcPr>
          <w:p w:rsidR="00B0216E" w:rsidRPr="003C0840" w:rsidRDefault="009A15F4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yellow"/>
              </w:rPr>
              <w:t xml:space="preserve">Macrolides and </w:t>
            </w:r>
          </w:p>
          <w:p w:rsidR="00B0216E" w:rsidRPr="003C0840" w:rsidRDefault="00B0216E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</w:p>
          <w:p w:rsidR="00B0216E" w:rsidRPr="003C0840" w:rsidRDefault="00B0216E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</w:p>
          <w:p w:rsidR="00B0216E" w:rsidRPr="003C0840" w:rsidRDefault="00B0216E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</w:p>
          <w:p w:rsidR="00F77CA6" w:rsidRPr="003C0840" w:rsidRDefault="009A15F4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yellow"/>
              </w:rPr>
              <w:t xml:space="preserve">lincosamides </w:t>
            </w:r>
          </w:p>
        </w:tc>
        <w:tc>
          <w:tcPr>
            <w:tcW w:w="2569" w:type="dxa"/>
          </w:tcPr>
          <w:p w:rsidR="00F77CA6" w:rsidRPr="003C0840" w:rsidRDefault="009A15F4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yellow"/>
              </w:rPr>
              <w:t>Erythromycin</w:t>
            </w:r>
          </w:p>
          <w:p w:rsidR="009A15F4" w:rsidRPr="003C0840" w:rsidRDefault="009A15F4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yellow"/>
              </w:rPr>
              <w:t xml:space="preserve">Azithromycin </w:t>
            </w:r>
          </w:p>
          <w:p w:rsidR="009A15F4" w:rsidRPr="003C0840" w:rsidRDefault="009A15F4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yellow"/>
              </w:rPr>
              <w:t xml:space="preserve">Clarithromycin </w:t>
            </w:r>
          </w:p>
          <w:p w:rsidR="00B0216E" w:rsidRPr="003C0840" w:rsidRDefault="00B0216E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</w:p>
          <w:p w:rsidR="009A15F4" w:rsidRPr="003C0840" w:rsidRDefault="009A15F4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green"/>
              </w:rPr>
              <w:t xml:space="preserve">Clindamycin </w:t>
            </w:r>
          </w:p>
        </w:tc>
        <w:tc>
          <w:tcPr>
            <w:tcW w:w="2341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50S subunit; inhibit protein synthesis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Bacteriostatic; Gram+, 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Legionella, Camphylobacter, Mycoplasma, Chlamydophila, Ricketstsiae</w:t>
            </w:r>
            <w:r>
              <w:rPr>
                <w:rFonts w:ascii="Footlight MT Light" w:hAnsi="Footlight MT Light"/>
                <w:sz w:val="32"/>
                <w:szCs w:val="32"/>
              </w:rPr>
              <w:t>, good anaerobic spectrum</w:t>
            </w:r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GIT pseudo-membranous colitis 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DB1089" w:rsidRDefault="00DB1089">
      <w:pPr>
        <w:rPr>
          <w:rFonts w:ascii="Footlight MT Light" w:hAnsi="Footlight MT Light"/>
          <w:sz w:val="32"/>
          <w:szCs w:val="32"/>
        </w:rPr>
      </w:pPr>
    </w:p>
    <w:p w:rsidR="00B0216E" w:rsidRDefault="00B0216E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551"/>
        <w:gridCol w:w="2526"/>
        <w:gridCol w:w="2530"/>
        <w:gridCol w:w="2532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D34AC6" w:rsidRPr="006859CB" w:rsidTr="00002F5F">
        <w:tc>
          <w:tcPr>
            <w:tcW w:w="13176" w:type="dxa"/>
            <w:gridSpan w:val="5"/>
          </w:tcPr>
          <w:p w:rsidR="00D34AC6" w:rsidRPr="003C0840" w:rsidRDefault="00D34AC6" w:rsidP="00002F5F">
            <w:pPr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 xml:space="preserve">INHIBITION OF NUCLEIC ACID SYNTHESIS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3C0840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yellow"/>
              </w:rPr>
              <w:t xml:space="preserve">Flouroquinolones </w:t>
            </w:r>
          </w:p>
        </w:tc>
        <w:tc>
          <w:tcPr>
            <w:tcW w:w="2635" w:type="dxa"/>
          </w:tcPr>
          <w:p w:rsidR="00B0216E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Nalidixic acid, </w:t>
            </w:r>
            <w:r w:rsidRPr="003C0840">
              <w:rPr>
                <w:rFonts w:ascii="Footlight MT Light" w:hAnsi="Footlight MT Light"/>
                <w:sz w:val="32"/>
                <w:szCs w:val="32"/>
                <w:highlight w:val="red"/>
              </w:rPr>
              <w:t>Ciprofloxacin,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B0216E" w:rsidRPr="00B0216E" w:rsidRDefault="00B0216E" w:rsidP="00B0216E">
            <w:pPr>
              <w:contextualSpacing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B0216E">
              <w:rPr>
                <w:rFonts w:asciiTheme="majorBidi" w:eastAsia="+mn-ea" w:hAnsiTheme="majorBidi" w:cstheme="majorBidi"/>
                <w:kern w:val="24"/>
                <w:sz w:val="36"/>
                <w:szCs w:val="36"/>
              </w:rPr>
              <w:t>Gatifloxacin</w:t>
            </w:r>
          </w:p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green"/>
              </w:rPr>
              <w:t>Moxifloxacin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DNA gyrase, preventing supercoiling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DNA </w:t>
            </w:r>
            <w:r w:rsidR="00B0216E" w:rsidRPr="006859CB">
              <w:rPr>
                <w:rFonts w:ascii="Footlight MT Light" w:hAnsi="Footlight MT Light"/>
                <w:sz w:val="32"/>
                <w:szCs w:val="32"/>
              </w:rPr>
              <w:t>degr</w:t>
            </w:r>
            <w:r w:rsidR="00B0216E">
              <w:rPr>
                <w:rFonts w:ascii="Footlight MT Light" w:hAnsi="Footlight MT Light"/>
                <w:sz w:val="32"/>
                <w:szCs w:val="32"/>
              </w:rPr>
              <w:t>a</w:t>
            </w:r>
            <w:r w:rsidR="00B0216E" w:rsidRPr="006859CB">
              <w:rPr>
                <w:rFonts w:ascii="Footlight MT Light" w:hAnsi="Footlight MT Light"/>
                <w:sz w:val="32"/>
                <w:szCs w:val="32"/>
              </w:rPr>
              <w:t>dation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+ve and gram -ve, INCLUDING Pseudomonas at a higher dosage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Cartilage damage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3C0840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yellow"/>
              </w:rPr>
              <w:t>Nitroimidazoles</w:t>
            </w:r>
          </w:p>
        </w:tc>
        <w:tc>
          <w:tcPr>
            <w:tcW w:w="2635" w:type="dxa"/>
          </w:tcPr>
          <w:p w:rsidR="00D34AC6" w:rsidRPr="003C0840" w:rsidRDefault="00D34AC6" w:rsidP="00002F5F">
            <w:pPr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3C0840">
              <w:rPr>
                <w:rFonts w:ascii="Footlight MT Light" w:hAnsi="Footlight MT Light"/>
                <w:sz w:val="32"/>
                <w:szCs w:val="32"/>
                <w:highlight w:val="green"/>
              </w:rPr>
              <w:t>Metronidazole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Metabolized by anaerobes to intermediates that prevent DNA synthesis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anaerobes (</w:t>
            </w:r>
            <w:r w:rsidRPr="00436396">
              <w:rPr>
                <w:rFonts w:ascii="Footlight MT Light" w:hAnsi="Footlight MT Light"/>
                <w:sz w:val="32"/>
                <w:szCs w:val="32"/>
                <w:highlight w:val="yellow"/>
              </w:rPr>
              <w:t>Also antiprotozoal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>)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GIT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Rifampicin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Rifampicin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DNA degradation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+ve and gram –ve bacteria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Discoloration of body fluid hepatotoxicity </w:t>
            </w:r>
          </w:p>
        </w:tc>
      </w:tr>
      <w:tr w:rsidR="00D34AC6" w:rsidRPr="006859CB" w:rsidTr="00002F5F">
        <w:trPr>
          <w:trHeight w:val="233"/>
        </w:trPr>
        <w:tc>
          <w:tcPr>
            <w:tcW w:w="13176" w:type="dxa"/>
            <w:gridSpan w:val="5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BACTERIAL GROWTH</w:t>
            </w:r>
          </w:p>
        </w:tc>
      </w:tr>
      <w:tr w:rsidR="00D34AC6" w:rsidRPr="006859CB" w:rsidTr="00002F5F">
        <w:trPr>
          <w:trHeight w:val="1560"/>
        </w:trPr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Sulfonamides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Trimethoprim-sulfadiazine, ormethoprim sulfa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Competitive analogue of para-aminobenzoic acid (PABA)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dihydrofolate reductase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blocks folic acid synthesis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Bacteriostatic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bactericidal when combined. Gram –ve Chlamydia, nocardia, protozoa and pneumocystic</w:t>
            </w:r>
          </w:p>
        </w:tc>
        <w:tc>
          <w:tcPr>
            <w:tcW w:w="2636" w:type="dxa"/>
          </w:tcPr>
          <w:p w:rsidR="00D34AC6" w:rsidRPr="006859CB" w:rsidRDefault="0043639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</w:tc>
      </w:tr>
    </w:tbl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13879" w:type="dxa"/>
        <w:tblLook w:val="04A0" w:firstRow="1" w:lastRow="0" w:firstColumn="1" w:lastColumn="0" w:noHBand="0" w:noVBand="1"/>
      </w:tblPr>
      <w:tblGrid>
        <w:gridCol w:w="2635"/>
        <w:gridCol w:w="3503"/>
        <w:gridCol w:w="3568"/>
        <w:gridCol w:w="4173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USE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Anti TB isoniazide (INH)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Bacteriocidal </w:t>
            </w:r>
          </w:p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All lung tissue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T.B treatment and prophylaxis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Hepatotoxicity peripheral neuropathy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Elhambiotd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bactericidal concentrated lung alveoli phagolysosome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TB treatment 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Optic neurititis 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Pyrazinamide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Acid environment of macrophages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TB treatment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Hepatitis gouty arthritis</w:t>
            </w:r>
          </w:p>
        </w:tc>
      </w:tr>
    </w:tbl>
    <w:p w:rsidR="00D34AC6" w:rsidRPr="006859CB" w:rsidRDefault="00D34AC6">
      <w:pPr>
        <w:rPr>
          <w:rFonts w:ascii="Footlight MT Light" w:hAnsi="Footlight MT Light"/>
          <w:sz w:val="32"/>
          <w:szCs w:val="32"/>
        </w:rPr>
      </w:pPr>
    </w:p>
    <w:sectPr w:rsidR="00D34AC6" w:rsidRPr="006859CB" w:rsidSect="006859CB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082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017A"/>
    <w:multiLevelType w:val="hybridMultilevel"/>
    <w:tmpl w:val="A20E991A"/>
    <w:lvl w:ilvl="0" w:tplc="EFECF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0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C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E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5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8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43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40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908B0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1"/>
    <w:rsid w:val="00017601"/>
    <w:rsid w:val="001B4AA5"/>
    <w:rsid w:val="002235CA"/>
    <w:rsid w:val="00242DC9"/>
    <w:rsid w:val="00314391"/>
    <w:rsid w:val="003C0840"/>
    <w:rsid w:val="00436396"/>
    <w:rsid w:val="004B13B6"/>
    <w:rsid w:val="005A690A"/>
    <w:rsid w:val="006859CB"/>
    <w:rsid w:val="007478F1"/>
    <w:rsid w:val="00797A67"/>
    <w:rsid w:val="00847444"/>
    <w:rsid w:val="00886036"/>
    <w:rsid w:val="009A15F4"/>
    <w:rsid w:val="00B0216E"/>
    <w:rsid w:val="00D34AC6"/>
    <w:rsid w:val="00DB1089"/>
    <w:rsid w:val="00E05C02"/>
    <w:rsid w:val="00E321B2"/>
    <w:rsid w:val="00E6250C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سالم</dc:creator>
  <cp:lastModifiedBy>سالم</cp:lastModifiedBy>
  <cp:revision>2</cp:revision>
  <cp:lastPrinted>2011-11-16T05:53:00Z</cp:lastPrinted>
  <dcterms:created xsi:type="dcterms:W3CDTF">2016-11-10T06:55:00Z</dcterms:created>
  <dcterms:modified xsi:type="dcterms:W3CDTF">2016-11-10T06:55:00Z</dcterms:modified>
</cp:coreProperties>
</file>