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5"/>
        <w:tblpPr w:leftFromText="180" w:rightFromText="180" w:vertAnchor="page" w:horzAnchor="margin" w:tblpXSpec="center" w:tblpY="404"/>
        <w:tblW w:w="15351" w:type="dxa"/>
        <w:tblBorders>
          <w:top w:val="thickThinSmallGap" w:sz="24" w:space="0" w:color="002060"/>
          <w:left w:val="thickThinSmallGap" w:sz="24" w:space="0" w:color="002060"/>
          <w:bottom w:val="thinThickSmallGap" w:sz="24" w:space="0" w:color="002060"/>
          <w:right w:val="thinThickSmallGap" w:sz="24" w:space="0" w:color="002060"/>
          <w:insideH w:val="single" w:sz="4" w:space="0" w:color="002060"/>
          <w:insideV w:val="single" w:sz="4" w:space="0" w:color="002060"/>
        </w:tblBorders>
        <w:tblLook w:val="0420" w:firstRow="1" w:lastRow="0" w:firstColumn="0" w:lastColumn="0" w:noHBand="0" w:noVBand="1"/>
      </w:tblPr>
      <w:tblGrid>
        <w:gridCol w:w="2362"/>
        <w:gridCol w:w="3246"/>
        <w:gridCol w:w="2989"/>
        <w:gridCol w:w="3557"/>
        <w:gridCol w:w="3197"/>
      </w:tblGrid>
      <w:tr w:rsidR="00BB00C2" w:rsidRPr="00BB00C2" w:rsidTr="00BB0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"/>
        </w:trPr>
        <w:tc>
          <w:tcPr>
            <w:tcW w:w="2096" w:type="dxa"/>
            <w:tcBorders>
              <w:bottom w:val="none" w:sz="0" w:space="0" w:color="auto"/>
            </w:tcBorders>
            <w:shd w:val="clear" w:color="auto" w:fill="D8F6FC"/>
            <w:hideMark/>
          </w:tcPr>
          <w:p w:rsidR="00E96A25" w:rsidRPr="00BB00C2" w:rsidRDefault="00E96A25" w:rsidP="00BB00C2">
            <w:pPr>
              <w:spacing w:line="259" w:lineRule="auto"/>
              <w:rPr>
                <w:rFonts w:ascii="Verdana Pro" w:hAnsi="Verdana Pro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325" w:type="dxa"/>
            <w:tcBorders>
              <w:bottom w:val="none" w:sz="0" w:space="0" w:color="auto"/>
            </w:tcBorders>
            <w:shd w:val="clear" w:color="auto" w:fill="89C4FF"/>
            <w:hideMark/>
          </w:tcPr>
          <w:p w:rsidR="00E96A25" w:rsidRPr="00BB00C2" w:rsidRDefault="00E96A25" w:rsidP="00BB00C2">
            <w:pPr>
              <w:spacing w:line="259" w:lineRule="auto"/>
              <w:jc w:val="center"/>
              <w:rPr>
                <w:rFonts w:ascii="Verdana Pro" w:hAnsi="Verdana Pro"/>
                <w:sz w:val="28"/>
                <w:szCs w:val="28"/>
              </w:rPr>
            </w:pPr>
            <w:r w:rsidRPr="00BB00C2">
              <w:rPr>
                <w:rFonts w:ascii="Verdana Pro" w:hAnsi="Verdana Pro"/>
                <w:sz w:val="28"/>
                <w:szCs w:val="28"/>
              </w:rPr>
              <w:t>Ultra-Short acting insulins</w:t>
            </w:r>
          </w:p>
          <w:p w:rsidR="00E96A25" w:rsidRPr="00BB00C2" w:rsidRDefault="00E96A25" w:rsidP="00BB00C2">
            <w:pPr>
              <w:spacing w:line="259" w:lineRule="auto"/>
              <w:jc w:val="center"/>
              <w:rPr>
                <w:rFonts w:ascii="Verdana Pro" w:hAnsi="Verdana Pro"/>
                <w:sz w:val="28"/>
                <w:szCs w:val="28"/>
              </w:rPr>
            </w:pPr>
          </w:p>
        </w:tc>
        <w:tc>
          <w:tcPr>
            <w:tcW w:w="3055" w:type="dxa"/>
            <w:tcBorders>
              <w:bottom w:val="none" w:sz="0" w:space="0" w:color="auto"/>
            </w:tcBorders>
            <w:shd w:val="clear" w:color="auto" w:fill="0582FF"/>
            <w:hideMark/>
          </w:tcPr>
          <w:p w:rsidR="00E96A25" w:rsidRPr="00BB00C2" w:rsidRDefault="00E96A25" w:rsidP="00BB00C2">
            <w:pPr>
              <w:spacing w:line="259" w:lineRule="auto"/>
              <w:jc w:val="center"/>
              <w:rPr>
                <w:rFonts w:ascii="Verdana Pro" w:hAnsi="Verdana Pro"/>
                <w:sz w:val="28"/>
                <w:szCs w:val="28"/>
              </w:rPr>
            </w:pPr>
            <w:r w:rsidRPr="00BB00C2">
              <w:rPr>
                <w:rFonts w:ascii="Verdana Pro" w:hAnsi="Verdana Pro"/>
                <w:sz w:val="28"/>
                <w:szCs w:val="28"/>
              </w:rPr>
              <w:t>Short-acting (regular) insulins</w:t>
            </w:r>
          </w:p>
        </w:tc>
        <w:tc>
          <w:tcPr>
            <w:tcW w:w="3622" w:type="dxa"/>
            <w:tcBorders>
              <w:bottom w:val="none" w:sz="0" w:space="0" w:color="auto"/>
            </w:tcBorders>
            <w:shd w:val="clear" w:color="auto" w:fill="005AB4"/>
            <w:hideMark/>
          </w:tcPr>
          <w:p w:rsidR="00E96A25" w:rsidRPr="00BB00C2" w:rsidRDefault="00E96A25" w:rsidP="00BB00C2">
            <w:pPr>
              <w:spacing w:line="259" w:lineRule="auto"/>
              <w:jc w:val="center"/>
              <w:rPr>
                <w:rFonts w:ascii="Verdana Pro" w:hAnsi="Verdana Pro"/>
                <w:color w:val="FFFFFF" w:themeColor="background1"/>
                <w:sz w:val="28"/>
                <w:szCs w:val="28"/>
              </w:rPr>
            </w:pPr>
            <w:r w:rsidRPr="00BB00C2">
              <w:rPr>
                <w:rFonts w:ascii="Verdana Pro" w:hAnsi="Verdana Pro"/>
                <w:color w:val="FFFFFF" w:themeColor="background1"/>
                <w:sz w:val="28"/>
                <w:szCs w:val="28"/>
              </w:rPr>
              <w:t>Intermediate acting insulins</w:t>
            </w:r>
          </w:p>
          <w:p w:rsidR="00E96A25" w:rsidRPr="00BB00C2" w:rsidRDefault="00E96A25" w:rsidP="00BB00C2">
            <w:pPr>
              <w:spacing w:line="259" w:lineRule="auto"/>
              <w:jc w:val="center"/>
              <w:rPr>
                <w:rFonts w:ascii="Verdana Pro" w:hAnsi="Verdana Pro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53" w:type="dxa"/>
            <w:tcBorders>
              <w:bottom w:val="none" w:sz="0" w:space="0" w:color="auto"/>
            </w:tcBorders>
            <w:shd w:val="clear" w:color="auto" w:fill="00366C"/>
            <w:hideMark/>
          </w:tcPr>
          <w:p w:rsidR="00E96A25" w:rsidRPr="00BB00C2" w:rsidRDefault="00E96A25" w:rsidP="00BB00C2">
            <w:pPr>
              <w:spacing w:line="259" w:lineRule="auto"/>
              <w:jc w:val="center"/>
              <w:rPr>
                <w:rFonts w:ascii="Verdana Pro" w:hAnsi="Verdana Pro"/>
                <w:sz w:val="28"/>
                <w:szCs w:val="28"/>
              </w:rPr>
            </w:pPr>
            <w:r w:rsidRPr="00BB00C2">
              <w:rPr>
                <w:rFonts w:ascii="Verdana Pro" w:hAnsi="Verdana Pro"/>
                <w:sz w:val="28"/>
                <w:szCs w:val="28"/>
              </w:rPr>
              <w:t>Long acting insulins</w:t>
            </w:r>
          </w:p>
          <w:p w:rsidR="00E96A25" w:rsidRPr="00BB00C2" w:rsidRDefault="00E96A25" w:rsidP="00BB00C2">
            <w:pPr>
              <w:spacing w:line="259" w:lineRule="auto"/>
              <w:jc w:val="center"/>
              <w:rPr>
                <w:rFonts w:ascii="Verdana Pro" w:hAnsi="Verdana Pro"/>
                <w:sz w:val="28"/>
                <w:szCs w:val="28"/>
              </w:rPr>
            </w:pPr>
          </w:p>
        </w:tc>
      </w:tr>
      <w:tr w:rsidR="00BB00C2" w:rsidRPr="00BB00C2" w:rsidTr="00BB00C2">
        <w:trPr>
          <w:trHeight w:val="916"/>
        </w:trPr>
        <w:tc>
          <w:tcPr>
            <w:tcW w:w="2096" w:type="dxa"/>
            <w:shd w:val="clear" w:color="auto" w:fill="D8F6FC"/>
          </w:tcPr>
          <w:p w:rsidR="00580029" w:rsidRPr="002E7755" w:rsidRDefault="00580029" w:rsidP="00BB00C2">
            <w:pPr>
              <w:rPr>
                <w:rFonts w:ascii="Verdana Pro" w:hAnsi="Verdana Pro"/>
                <w:b/>
                <w:bCs/>
                <w:sz w:val="26"/>
                <w:szCs w:val="26"/>
              </w:rPr>
            </w:pPr>
            <w:r w:rsidRPr="002E7755">
              <w:rPr>
                <w:rFonts w:ascii="Verdana Pro" w:hAnsi="Verdana Pro"/>
                <w:b/>
                <w:bCs/>
                <w:sz w:val="26"/>
                <w:szCs w:val="26"/>
              </w:rPr>
              <w:t xml:space="preserve">Drugs names </w:t>
            </w:r>
          </w:p>
        </w:tc>
        <w:tc>
          <w:tcPr>
            <w:tcW w:w="3325" w:type="dxa"/>
            <w:shd w:val="clear" w:color="auto" w:fill="89C4FF"/>
          </w:tcPr>
          <w:p w:rsidR="00580029" w:rsidRPr="00BB00C2" w:rsidRDefault="00580029" w:rsidP="00BB00C2">
            <w:pPr>
              <w:jc w:val="center"/>
              <w:rPr>
                <w:rFonts w:ascii="Verdana Pro" w:hAnsi="Verdana Pro"/>
                <w:sz w:val="26"/>
                <w:szCs w:val="26"/>
              </w:rPr>
            </w:pPr>
            <w:proofErr w:type="spellStart"/>
            <w:r w:rsidRPr="00BB00C2">
              <w:rPr>
                <w:rFonts w:ascii="Verdana Pro" w:hAnsi="Verdana Pro"/>
                <w:sz w:val="26"/>
                <w:szCs w:val="26"/>
              </w:rPr>
              <w:t>Lispro</w:t>
            </w:r>
            <w:proofErr w:type="spellEnd"/>
            <w:r w:rsidRPr="00BB00C2">
              <w:rPr>
                <w:rFonts w:ascii="Verdana Pro" w:hAnsi="Verdana Pro"/>
                <w:sz w:val="26"/>
                <w:szCs w:val="26"/>
              </w:rPr>
              <w:t xml:space="preserve">, </w:t>
            </w:r>
            <w:proofErr w:type="spellStart"/>
            <w:r w:rsidRPr="00BB00C2">
              <w:rPr>
                <w:rFonts w:ascii="Verdana Pro" w:hAnsi="Verdana Pro"/>
                <w:sz w:val="26"/>
                <w:szCs w:val="26"/>
              </w:rPr>
              <w:t>aspart</w:t>
            </w:r>
            <w:proofErr w:type="spellEnd"/>
            <w:r w:rsidRPr="00BB00C2">
              <w:rPr>
                <w:rFonts w:ascii="Verdana Pro" w:hAnsi="Verdana Pro"/>
                <w:sz w:val="26"/>
                <w:szCs w:val="26"/>
              </w:rPr>
              <w:t xml:space="preserve">, </w:t>
            </w:r>
            <w:proofErr w:type="spellStart"/>
            <w:r w:rsidRPr="00BB00C2">
              <w:rPr>
                <w:rFonts w:ascii="Verdana Pro" w:hAnsi="Verdana Pro"/>
                <w:sz w:val="26"/>
                <w:szCs w:val="26"/>
              </w:rPr>
              <w:t>glulisine</w:t>
            </w:r>
            <w:proofErr w:type="spellEnd"/>
          </w:p>
        </w:tc>
        <w:tc>
          <w:tcPr>
            <w:tcW w:w="3055" w:type="dxa"/>
            <w:shd w:val="clear" w:color="auto" w:fill="0582FF"/>
          </w:tcPr>
          <w:p w:rsidR="00580029" w:rsidRPr="00BB00C2" w:rsidRDefault="00580029" w:rsidP="00BB00C2">
            <w:pPr>
              <w:jc w:val="center"/>
              <w:rPr>
                <w:rFonts w:ascii="Verdana Pro" w:hAnsi="Verdana Pro"/>
                <w:sz w:val="26"/>
                <w:szCs w:val="26"/>
              </w:rPr>
            </w:pPr>
          </w:p>
        </w:tc>
        <w:tc>
          <w:tcPr>
            <w:tcW w:w="3622" w:type="dxa"/>
            <w:shd w:val="clear" w:color="auto" w:fill="005AB4"/>
          </w:tcPr>
          <w:p w:rsidR="00580029" w:rsidRPr="00BB00C2" w:rsidRDefault="00580029" w:rsidP="00BB00C2">
            <w:pPr>
              <w:jc w:val="center"/>
              <w:rPr>
                <w:rFonts w:ascii="Verdana Pro" w:hAnsi="Verdana Pro"/>
                <w:color w:val="FFFFFF" w:themeColor="background1"/>
                <w:sz w:val="26"/>
                <w:szCs w:val="26"/>
              </w:rPr>
            </w:pPr>
            <w:proofErr w:type="spellStart"/>
            <w:r w:rsidRPr="00BB00C2">
              <w:rPr>
                <w:rFonts w:ascii="Verdana Pro" w:hAnsi="Verdana Pro"/>
                <w:color w:val="FFFFFF" w:themeColor="background1"/>
                <w:sz w:val="26"/>
                <w:szCs w:val="26"/>
              </w:rPr>
              <w:t>Isophane</w:t>
            </w:r>
            <w:proofErr w:type="spellEnd"/>
            <w:r w:rsidRPr="00BB00C2">
              <w:rPr>
                <w:rFonts w:ascii="Verdana Pro" w:hAnsi="Verdana Pro"/>
                <w:color w:val="FFFFFF" w:themeColor="background1"/>
                <w:sz w:val="26"/>
                <w:szCs w:val="26"/>
              </w:rPr>
              <w:t xml:space="preserve"> (NPH) </w:t>
            </w:r>
            <w:r w:rsidRPr="00BB00C2">
              <w:rPr>
                <w:rFonts w:ascii="Verdana Pro" w:hAnsi="Verdana Pro"/>
                <w:i/>
                <w:iCs/>
                <w:color w:val="FFFFFF" w:themeColor="background1"/>
                <w:sz w:val="26"/>
                <w:szCs w:val="26"/>
              </w:rPr>
              <w:br/>
            </w:r>
            <w:r w:rsidRPr="00BB00C2">
              <w:rPr>
                <w:rFonts w:ascii="Verdana Pro" w:hAnsi="Verdana Pro"/>
                <w:color w:val="FFFFFF" w:themeColor="background1"/>
                <w:sz w:val="26"/>
                <w:szCs w:val="26"/>
              </w:rPr>
              <w:t xml:space="preserve">Lente insulin ( </w:t>
            </w:r>
            <w:proofErr w:type="spellStart"/>
            <w:r w:rsidRPr="00BB00C2">
              <w:rPr>
                <w:rFonts w:ascii="Verdana Pro" w:hAnsi="Verdana Pro"/>
                <w:color w:val="FFFFFF" w:themeColor="background1"/>
                <w:sz w:val="26"/>
                <w:szCs w:val="26"/>
              </w:rPr>
              <w:t>Humulin</w:t>
            </w:r>
            <w:proofErr w:type="spellEnd"/>
            <w:r w:rsidRPr="00BB00C2">
              <w:rPr>
                <w:rFonts w:ascii="Verdana Pro" w:hAnsi="Verdana Pro"/>
                <w:color w:val="FFFFFF" w:themeColor="background1"/>
                <w:sz w:val="26"/>
                <w:szCs w:val="26"/>
              </w:rPr>
              <w:t xml:space="preserve"> R, </w:t>
            </w:r>
            <w:proofErr w:type="spellStart"/>
            <w:r w:rsidRPr="00BB00C2">
              <w:rPr>
                <w:rFonts w:ascii="Verdana Pro" w:hAnsi="Verdana Pro"/>
                <w:color w:val="FFFFFF" w:themeColor="background1"/>
                <w:sz w:val="26"/>
                <w:szCs w:val="26"/>
              </w:rPr>
              <w:t>Novolin</w:t>
            </w:r>
            <w:proofErr w:type="spellEnd"/>
            <w:r w:rsidRPr="00BB00C2">
              <w:rPr>
                <w:rFonts w:ascii="Verdana Pro" w:hAnsi="Verdana Pro"/>
                <w:color w:val="FFFFFF" w:themeColor="background1"/>
                <w:sz w:val="26"/>
                <w:szCs w:val="26"/>
              </w:rPr>
              <w:t xml:space="preserve"> R)</w:t>
            </w:r>
          </w:p>
        </w:tc>
        <w:tc>
          <w:tcPr>
            <w:tcW w:w="3253" w:type="dxa"/>
            <w:shd w:val="clear" w:color="auto" w:fill="00366C"/>
          </w:tcPr>
          <w:p w:rsidR="00580029" w:rsidRPr="00BB00C2" w:rsidRDefault="00580029" w:rsidP="00BB00C2">
            <w:pPr>
              <w:jc w:val="center"/>
              <w:rPr>
                <w:rFonts w:ascii="Verdana Pro" w:hAnsi="Verdana Pro"/>
                <w:sz w:val="28"/>
                <w:szCs w:val="28"/>
              </w:rPr>
            </w:pPr>
            <w:r w:rsidRPr="00BB00C2">
              <w:rPr>
                <w:rFonts w:ascii="Verdana Pro" w:hAnsi="Verdana Pro"/>
                <w:sz w:val="28"/>
                <w:szCs w:val="28"/>
              </w:rPr>
              <w:t>Insulin glargine (</w:t>
            </w:r>
            <w:proofErr w:type="spellStart"/>
            <w:r w:rsidRPr="00BB00C2">
              <w:rPr>
                <w:rFonts w:ascii="Verdana Pro" w:hAnsi="Verdana Pro"/>
                <w:sz w:val="28"/>
                <w:szCs w:val="28"/>
              </w:rPr>
              <w:t>lantus</w:t>
            </w:r>
            <w:proofErr w:type="spellEnd"/>
            <w:r w:rsidRPr="00BB00C2">
              <w:rPr>
                <w:rFonts w:ascii="Verdana Pro" w:hAnsi="Verdana Pro"/>
                <w:sz w:val="28"/>
                <w:szCs w:val="28"/>
              </w:rPr>
              <w:t xml:space="preserve">), Insulin </w:t>
            </w:r>
            <w:proofErr w:type="spellStart"/>
            <w:r w:rsidRPr="00BB00C2">
              <w:rPr>
                <w:rFonts w:ascii="Verdana Pro" w:hAnsi="Verdana Pro"/>
                <w:sz w:val="28"/>
                <w:szCs w:val="28"/>
              </w:rPr>
              <w:t>detemir</w:t>
            </w:r>
            <w:proofErr w:type="spellEnd"/>
            <w:r w:rsidRPr="00BB00C2">
              <w:rPr>
                <w:rFonts w:ascii="Verdana Pro" w:hAnsi="Verdana Pro"/>
                <w:sz w:val="28"/>
                <w:szCs w:val="28"/>
              </w:rPr>
              <w:t xml:space="preserve"> (</w:t>
            </w:r>
            <w:proofErr w:type="spellStart"/>
            <w:r w:rsidRPr="00BB00C2">
              <w:rPr>
                <w:rFonts w:ascii="Verdana Pro" w:hAnsi="Verdana Pro"/>
                <w:sz w:val="28"/>
                <w:szCs w:val="28"/>
              </w:rPr>
              <w:t>Levemir</w:t>
            </w:r>
            <w:proofErr w:type="spellEnd"/>
            <w:r w:rsidRPr="00BB00C2">
              <w:rPr>
                <w:rFonts w:ascii="Verdana Pro" w:hAnsi="Verdana Pro"/>
                <w:sz w:val="28"/>
                <w:szCs w:val="28"/>
              </w:rPr>
              <w:t>)</w:t>
            </w:r>
          </w:p>
        </w:tc>
      </w:tr>
      <w:tr w:rsidR="00BB00C2" w:rsidRPr="00BB00C2" w:rsidTr="00BB00C2">
        <w:trPr>
          <w:trHeight w:val="881"/>
        </w:trPr>
        <w:tc>
          <w:tcPr>
            <w:tcW w:w="2096" w:type="dxa"/>
            <w:shd w:val="clear" w:color="auto" w:fill="D8F6FC"/>
            <w:hideMark/>
          </w:tcPr>
          <w:p w:rsidR="00E96A25" w:rsidRPr="002E7755" w:rsidRDefault="00E96A25" w:rsidP="00BB00C2">
            <w:pPr>
              <w:spacing w:line="259" w:lineRule="auto"/>
              <w:rPr>
                <w:rFonts w:ascii="Verdana Pro" w:hAnsi="Verdana Pro"/>
                <w:b/>
                <w:bCs/>
                <w:sz w:val="26"/>
                <w:szCs w:val="26"/>
              </w:rPr>
            </w:pPr>
            <w:r w:rsidRPr="002E7755">
              <w:rPr>
                <w:rFonts w:ascii="Verdana Pro" w:hAnsi="Verdana Pro"/>
                <w:b/>
                <w:bCs/>
                <w:sz w:val="26"/>
                <w:szCs w:val="26"/>
              </w:rPr>
              <w:t>Physical characteristics</w:t>
            </w:r>
          </w:p>
        </w:tc>
        <w:tc>
          <w:tcPr>
            <w:tcW w:w="3325" w:type="dxa"/>
            <w:shd w:val="clear" w:color="auto" w:fill="FFFFFF" w:themeFill="background1"/>
            <w:hideMark/>
          </w:tcPr>
          <w:p w:rsidR="00E96A25" w:rsidRPr="00BB00C2" w:rsidRDefault="00E96A25" w:rsidP="00BB00C2">
            <w:pPr>
              <w:spacing w:line="259" w:lineRule="auto"/>
              <w:jc w:val="center"/>
              <w:rPr>
                <w:rFonts w:ascii="Verdana Pro" w:hAnsi="Verdana Pro"/>
                <w:sz w:val="26"/>
                <w:szCs w:val="26"/>
              </w:rPr>
            </w:pPr>
            <w:r w:rsidRPr="00BB00C2">
              <w:rPr>
                <w:rFonts w:ascii="Verdana Pro" w:hAnsi="Verdana Pro"/>
                <w:sz w:val="26"/>
                <w:szCs w:val="26"/>
              </w:rPr>
              <w:t>Clear solution at neutral pH</w:t>
            </w:r>
          </w:p>
        </w:tc>
        <w:tc>
          <w:tcPr>
            <w:tcW w:w="3055" w:type="dxa"/>
            <w:shd w:val="clear" w:color="auto" w:fill="FFFFFF" w:themeFill="background1"/>
            <w:hideMark/>
          </w:tcPr>
          <w:p w:rsidR="00E96A25" w:rsidRPr="00BB00C2" w:rsidRDefault="00E96A25" w:rsidP="00BB00C2">
            <w:pPr>
              <w:spacing w:line="259" w:lineRule="auto"/>
              <w:jc w:val="center"/>
              <w:rPr>
                <w:rFonts w:ascii="Verdana Pro" w:hAnsi="Verdana Pro"/>
                <w:sz w:val="26"/>
                <w:szCs w:val="26"/>
              </w:rPr>
            </w:pPr>
            <w:r w:rsidRPr="00BB00C2">
              <w:rPr>
                <w:rFonts w:ascii="Verdana Pro" w:hAnsi="Verdana Pro"/>
                <w:sz w:val="26"/>
                <w:szCs w:val="26"/>
              </w:rPr>
              <w:t>Clear solution at neutral pH</w:t>
            </w:r>
          </w:p>
        </w:tc>
        <w:tc>
          <w:tcPr>
            <w:tcW w:w="3622" w:type="dxa"/>
            <w:shd w:val="clear" w:color="auto" w:fill="FFFFFF" w:themeFill="background1"/>
            <w:hideMark/>
          </w:tcPr>
          <w:p w:rsidR="00E96A25" w:rsidRPr="00BB00C2" w:rsidRDefault="00E96A25" w:rsidP="00BB00C2">
            <w:pPr>
              <w:spacing w:line="259" w:lineRule="auto"/>
              <w:jc w:val="center"/>
              <w:rPr>
                <w:rFonts w:ascii="Verdana Pro" w:hAnsi="Verdana Pro"/>
                <w:sz w:val="26"/>
                <w:szCs w:val="26"/>
              </w:rPr>
            </w:pPr>
            <w:r w:rsidRPr="00BB00C2">
              <w:rPr>
                <w:rFonts w:ascii="Verdana Pro" w:hAnsi="Verdana Pro"/>
                <w:sz w:val="26"/>
                <w:szCs w:val="26"/>
              </w:rPr>
              <w:t>Turbid suspension</w:t>
            </w:r>
          </w:p>
        </w:tc>
        <w:tc>
          <w:tcPr>
            <w:tcW w:w="3253" w:type="dxa"/>
            <w:shd w:val="clear" w:color="auto" w:fill="FFFFFF" w:themeFill="background1"/>
            <w:hideMark/>
          </w:tcPr>
          <w:p w:rsidR="00E96A25" w:rsidRPr="00BB00C2" w:rsidRDefault="004C79F9" w:rsidP="00BB00C2">
            <w:pPr>
              <w:spacing w:line="259" w:lineRule="auto"/>
              <w:jc w:val="center"/>
              <w:rPr>
                <w:rFonts w:ascii="Verdana Pro" w:hAnsi="Verdana Pro"/>
                <w:sz w:val="28"/>
                <w:szCs w:val="28"/>
              </w:rPr>
            </w:pPr>
            <w:r w:rsidRPr="00BB00C2">
              <w:rPr>
                <w:rFonts w:ascii="Verdana Pro" w:hAnsi="Verdana Pro"/>
                <w:sz w:val="28"/>
                <w:szCs w:val="28"/>
              </w:rPr>
              <w:t>Clear solution BUT forms precipitate (hexamer) at injection site.</w:t>
            </w:r>
          </w:p>
        </w:tc>
      </w:tr>
      <w:tr w:rsidR="00BB00C2" w:rsidRPr="00BB00C2" w:rsidTr="00BB00C2">
        <w:trPr>
          <w:trHeight w:val="471"/>
        </w:trPr>
        <w:tc>
          <w:tcPr>
            <w:tcW w:w="2096" w:type="dxa"/>
            <w:shd w:val="clear" w:color="auto" w:fill="D8F6FC"/>
            <w:hideMark/>
          </w:tcPr>
          <w:p w:rsidR="00E96A25" w:rsidRPr="002E7755" w:rsidRDefault="00E96A25" w:rsidP="00BB00C2">
            <w:pPr>
              <w:spacing w:line="259" w:lineRule="auto"/>
              <w:rPr>
                <w:rFonts w:ascii="Verdana Pro" w:hAnsi="Verdana Pro"/>
                <w:b/>
                <w:bCs/>
                <w:sz w:val="26"/>
                <w:szCs w:val="26"/>
              </w:rPr>
            </w:pPr>
            <w:r w:rsidRPr="002E7755">
              <w:rPr>
                <w:rFonts w:ascii="Verdana Pro" w:hAnsi="Verdana Pro"/>
                <w:b/>
                <w:bCs/>
                <w:sz w:val="26"/>
                <w:szCs w:val="26"/>
              </w:rPr>
              <w:t>chemistry</w:t>
            </w:r>
          </w:p>
        </w:tc>
        <w:tc>
          <w:tcPr>
            <w:tcW w:w="3325" w:type="dxa"/>
            <w:shd w:val="clear" w:color="auto" w:fill="FFFFFF" w:themeFill="background1"/>
            <w:hideMark/>
          </w:tcPr>
          <w:p w:rsidR="00E96A25" w:rsidRPr="00BB00C2" w:rsidRDefault="00E96A25" w:rsidP="00BB00C2">
            <w:pPr>
              <w:spacing w:line="259" w:lineRule="auto"/>
              <w:jc w:val="center"/>
              <w:rPr>
                <w:rFonts w:ascii="Verdana Pro" w:hAnsi="Verdana Pro"/>
                <w:sz w:val="26"/>
                <w:szCs w:val="26"/>
              </w:rPr>
            </w:pPr>
            <w:r w:rsidRPr="00BB00C2">
              <w:rPr>
                <w:rFonts w:ascii="Verdana Pro" w:hAnsi="Verdana Pro"/>
                <w:sz w:val="26"/>
                <w:szCs w:val="26"/>
              </w:rPr>
              <w:t>Monomeric analogue</w:t>
            </w:r>
          </w:p>
        </w:tc>
        <w:tc>
          <w:tcPr>
            <w:tcW w:w="3055" w:type="dxa"/>
            <w:shd w:val="clear" w:color="auto" w:fill="FFFFFF" w:themeFill="background1"/>
            <w:hideMark/>
          </w:tcPr>
          <w:p w:rsidR="00E96A25" w:rsidRPr="00BB00C2" w:rsidRDefault="00BB00C2" w:rsidP="00BB00C2">
            <w:pPr>
              <w:spacing w:line="259" w:lineRule="auto"/>
              <w:jc w:val="center"/>
              <w:rPr>
                <w:rFonts w:ascii="Verdana Pro" w:hAnsi="Verdana Pro"/>
                <w:sz w:val="26"/>
                <w:szCs w:val="26"/>
              </w:rPr>
            </w:pPr>
            <w:r w:rsidRPr="00BB00C2">
              <w:rPr>
                <w:rFonts w:ascii="Verdana Pro" w:hAnsi="Verdana Pro"/>
                <w:sz w:val="26"/>
                <w:szCs w:val="26"/>
              </w:rPr>
              <w:t>Hexametric</w:t>
            </w:r>
            <w:r w:rsidR="00E96A25" w:rsidRPr="00BB00C2">
              <w:rPr>
                <w:rFonts w:ascii="Verdana Pro" w:hAnsi="Verdana Pro"/>
                <w:sz w:val="26"/>
                <w:szCs w:val="26"/>
              </w:rPr>
              <w:t xml:space="preserve"> analogue</w:t>
            </w:r>
          </w:p>
        </w:tc>
        <w:tc>
          <w:tcPr>
            <w:tcW w:w="3622" w:type="dxa"/>
            <w:shd w:val="clear" w:color="auto" w:fill="FFFFFF" w:themeFill="background1"/>
            <w:hideMark/>
          </w:tcPr>
          <w:p w:rsidR="00E96A25" w:rsidRPr="00BB00C2" w:rsidRDefault="00E96A25" w:rsidP="00BB00C2">
            <w:pPr>
              <w:spacing w:line="259" w:lineRule="auto"/>
              <w:jc w:val="center"/>
              <w:rPr>
                <w:rFonts w:ascii="Verdana Pro" w:hAnsi="Verdana Pro"/>
                <w:sz w:val="26"/>
                <w:szCs w:val="26"/>
              </w:rPr>
            </w:pPr>
          </w:p>
        </w:tc>
        <w:tc>
          <w:tcPr>
            <w:tcW w:w="3253" w:type="dxa"/>
            <w:shd w:val="clear" w:color="auto" w:fill="FFFFFF" w:themeFill="background1"/>
            <w:hideMark/>
          </w:tcPr>
          <w:p w:rsidR="00E96A25" w:rsidRPr="00BB00C2" w:rsidRDefault="00BB00C2" w:rsidP="00BB00C2">
            <w:pPr>
              <w:spacing w:line="259" w:lineRule="auto"/>
              <w:jc w:val="center"/>
              <w:rPr>
                <w:rFonts w:ascii="Verdana Pro" w:hAnsi="Verdana Pro"/>
                <w:sz w:val="28"/>
                <w:szCs w:val="28"/>
              </w:rPr>
            </w:pPr>
            <w:r w:rsidRPr="00BB00C2">
              <w:rPr>
                <w:rFonts w:ascii="Verdana Pro" w:hAnsi="Verdana Pro"/>
                <w:sz w:val="28"/>
                <w:szCs w:val="28"/>
              </w:rPr>
              <w:t>Hexametric</w:t>
            </w:r>
            <w:r w:rsidR="00E96A25" w:rsidRPr="00BB00C2">
              <w:rPr>
                <w:rFonts w:ascii="Verdana Pro" w:hAnsi="Verdana Pro"/>
                <w:sz w:val="28"/>
                <w:szCs w:val="28"/>
              </w:rPr>
              <w:t xml:space="preserve"> analogue</w:t>
            </w:r>
          </w:p>
        </w:tc>
      </w:tr>
      <w:tr w:rsidR="00BB00C2" w:rsidRPr="00BB00C2" w:rsidTr="00BB00C2">
        <w:trPr>
          <w:trHeight w:val="1838"/>
        </w:trPr>
        <w:tc>
          <w:tcPr>
            <w:tcW w:w="2096" w:type="dxa"/>
            <w:shd w:val="clear" w:color="auto" w:fill="D8F6FC"/>
            <w:hideMark/>
          </w:tcPr>
          <w:p w:rsidR="00E96A25" w:rsidRPr="002E7755" w:rsidRDefault="00E96A25" w:rsidP="00BB00C2">
            <w:pPr>
              <w:spacing w:line="259" w:lineRule="auto"/>
              <w:rPr>
                <w:rFonts w:ascii="Verdana Pro" w:hAnsi="Verdana Pro"/>
                <w:b/>
                <w:bCs/>
                <w:sz w:val="26"/>
                <w:szCs w:val="26"/>
              </w:rPr>
            </w:pPr>
            <w:r w:rsidRPr="002E7755">
              <w:rPr>
                <w:rFonts w:ascii="Verdana Pro" w:hAnsi="Verdana Pro"/>
                <w:b/>
                <w:bCs/>
                <w:sz w:val="26"/>
                <w:szCs w:val="26"/>
              </w:rPr>
              <w:t>Route &amp; time of administration</w:t>
            </w:r>
          </w:p>
        </w:tc>
        <w:tc>
          <w:tcPr>
            <w:tcW w:w="3325" w:type="dxa"/>
            <w:shd w:val="clear" w:color="auto" w:fill="FFFFFF" w:themeFill="background1"/>
            <w:hideMark/>
          </w:tcPr>
          <w:p w:rsidR="00E96A25" w:rsidRPr="00BB00C2" w:rsidRDefault="00E96A25" w:rsidP="00BB00C2">
            <w:pPr>
              <w:spacing w:line="259" w:lineRule="auto"/>
              <w:jc w:val="center"/>
              <w:rPr>
                <w:rFonts w:ascii="Verdana Pro" w:hAnsi="Verdana Pro"/>
                <w:sz w:val="26"/>
                <w:szCs w:val="26"/>
              </w:rPr>
            </w:pPr>
            <w:r w:rsidRPr="00BB00C2">
              <w:rPr>
                <w:rFonts w:ascii="Verdana Pro" w:hAnsi="Verdana Pro"/>
                <w:sz w:val="26"/>
                <w:szCs w:val="26"/>
              </w:rPr>
              <w:t>S.C. 5 min (no more than 15 min) before meal</w:t>
            </w:r>
          </w:p>
          <w:p w:rsidR="00E96A25" w:rsidRPr="00BB00C2" w:rsidRDefault="00E96A25" w:rsidP="00BB00C2">
            <w:pPr>
              <w:spacing w:line="259" w:lineRule="auto"/>
              <w:jc w:val="center"/>
              <w:rPr>
                <w:rFonts w:ascii="Verdana Pro" w:hAnsi="Verdana Pro"/>
                <w:sz w:val="26"/>
                <w:szCs w:val="26"/>
              </w:rPr>
            </w:pPr>
            <w:r w:rsidRPr="00BB00C2">
              <w:rPr>
                <w:rFonts w:ascii="Verdana Pro" w:hAnsi="Verdana Pro"/>
                <w:sz w:val="26"/>
                <w:szCs w:val="26"/>
              </w:rPr>
              <w:t>I.V. in emergency</w:t>
            </w:r>
          </w:p>
          <w:p w:rsidR="002C1245" w:rsidRPr="00BB00C2" w:rsidRDefault="002C1245" w:rsidP="00BB00C2">
            <w:pPr>
              <w:spacing w:line="259" w:lineRule="auto"/>
              <w:jc w:val="center"/>
              <w:rPr>
                <w:rFonts w:ascii="Verdana Pro" w:hAnsi="Verdana Pro"/>
                <w:sz w:val="26"/>
                <w:szCs w:val="26"/>
              </w:rPr>
            </w:pPr>
            <w:r w:rsidRPr="00BB00C2">
              <w:rPr>
                <w:rFonts w:ascii="Verdana Pro" w:hAnsi="Verdana Pro"/>
                <w:sz w:val="26"/>
                <w:szCs w:val="26"/>
              </w:rPr>
              <w:t>2 – 3 times/day before each meal</w:t>
            </w:r>
          </w:p>
        </w:tc>
        <w:tc>
          <w:tcPr>
            <w:tcW w:w="3055" w:type="dxa"/>
            <w:shd w:val="clear" w:color="auto" w:fill="FFFFFF" w:themeFill="background1"/>
            <w:hideMark/>
          </w:tcPr>
          <w:p w:rsidR="00E96A25" w:rsidRPr="00BB00C2" w:rsidRDefault="00E96A25" w:rsidP="00BB00C2">
            <w:pPr>
              <w:spacing w:line="259" w:lineRule="auto"/>
              <w:jc w:val="center"/>
              <w:rPr>
                <w:rFonts w:ascii="Verdana Pro" w:hAnsi="Verdana Pro"/>
                <w:sz w:val="26"/>
                <w:szCs w:val="26"/>
              </w:rPr>
            </w:pPr>
            <w:r w:rsidRPr="00BB00C2">
              <w:rPr>
                <w:rFonts w:ascii="Verdana Pro" w:hAnsi="Verdana Pro"/>
                <w:sz w:val="26"/>
                <w:szCs w:val="26"/>
              </w:rPr>
              <w:t>S.C. 30 – 45 min before meal</w:t>
            </w:r>
          </w:p>
          <w:p w:rsidR="00E96A25" w:rsidRPr="00BB00C2" w:rsidRDefault="00E96A25" w:rsidP="00BB00C2">
            <w:pPr>
              <w:spacing w:line="259" w:lineRule="auto"/>
              <w:jc w:val="center"/>
              <w:rPr>
                <w:rFonts w:ascii="Verdana Pro" w:hAnsi="Verdana Pro"/>
                <w:sz w:val="26"/>
                <w:szCs w:val="26"/>
              </w:rPr>
            </w:pPr>
            <w:r w:rsidRPr="00BB00C2">
              <w:rPr>
                <w:rFonts w:ascii="Verdana Pro" w:hAnsi="Verdana Pro"/>
                <w:sz w:val="26"/>
                <w:szCs w:val="26"/>
              </w:rPr>
              <w:t>I.V. in emergency</w:t>
            </w:r>
          </w:p>
          <w:p w:rsidR="002C1245" w:rsidRPr="00BB00C2" w:rsidRDefault="002C1245" w:rsidP="00BB00C2">
            <w:pPr>
              <w:spacing w:line="259" w:lineRule="auto"/>
              <w:jc w:val="center"/>
              <w:rPr>
                <w:rFonts w:ascii="Verdana Pro" w:hAnsi="Verdana Pro"/>
                <w:sz w:val="26"/>
                <w:szCs w:val="26"/>
              </w:rPr>
            </w:pPr>
            <w:r w:rsidRPr="00BB00C2">
              <w:rPr>
                <w:rFonts w:ascii="Verdana Pro" w:hAnsi="Verdana Pro"/>
                <w:sz w:val="26"/>
                <w:szCs w:val="26"/>
              </w:rPr>
              <w:t>2 – 3 times/day before each meal</w:t>
            </w:r>
          </w:p>
        </w:tc>
        <w:tc>
          <w:tcPr>
            <w:tcW w:w="3622" w:type="dxa"/>
            <w:shd w:val="clear" w:color="auto" w:fill="FFFFFF" w:themeFill="background1"/>
            <w:hideMark/>
          </w:tcPr>
          <w:p w:rsidR="004C79F9" w:rsidRPr="00BB00C2" w:rsidRDefault="004C79F9" w:rsidP="00BB00C2">
            <w:pPr>
              <w:spacing w:line="259" w:lineRule="auto"/>
              <w:jc w:val="center"/>
              <w:rPr>
                <w:rFonts w:ascii="Verdana Pro" w:hAnsi="Verdana Pro"/>
                <w:sz w:val="26"/>
                <w:szCs w:val="26"/>
              </w:rPr>
            </w:pPr>
            <w:r w:rsidRPr="00BB00C2">
              <w:rPr>
                <w:rFonts w:ascii="Verdana Pro" w:hAnsi="Verdana Pro"/>
                <w:sz w:val="26"/>
                <w:szCs w:val="26"/>
              </w:rPr>
              <w:t xml:space="preserve">Given S.C. only not </w:t>
            </w:r>
            <w:proofErr w:type="spellStart"/>
            <w:r w:rsidRPr="00BB00C2">
              <w:rPr>
                <w:rFonts w:ascii="Verdana Pro" w:hAnsi="Verdana Pro"/>
                <w:sz w:val="26"/>
                <w:szCs w:val="26"/>
              </w:rPr>
              <w:t>i.v.</w:t>
            </w:r>
            <w:proofErr w:type="spellEnd"/>
          </w:p>
          <w:p w:rsidR="004C79F9" w:rsidRPr="00BB00C2" w:rsidRDefault="00BB00C2" w:rsidP="00BB00C2">
            <w:pPr>
              <w:spacing w:line="259" w:lineRule="auto"/>
              <w:jc w:val="center"/>
              <w:rPr>
                <w:rFonts w:ascii="Verdana Pro" w:hAnsi="Verdana Pro"/>
                <w:sz w:val="26"/>
                <w:szCs w:val="26"/>
              </w:rPr>
            </w:pPr>
            <w:r w:rsidRPr="00BB00C2">
              <w:rPr>
                <w:rFonts w:ascii="Verdana Pro" w:hAnsi="Verdana Pro"/>
                <w:sz w:val="26"/>
                <w:szCs w:val="26"/>
              </w:rPr>
              <w:t>Cannot</w:t>
            </w:r>
            <w:r w:rsidR="004C79F9" w:rsidRPr="00BB00C2">
              <w:rPr>
                <w:rFonts w:ascii="Verdana Pro" w:hAnsi="Verdana Pro"/>
                <w:sz w:val="26"/>
                <w:szCs w:val="26"/>
              </w:rPr>
              <w:t xml:space="preserve"> be used in ketoacidosis or emergency</w:t>
            </w:r>
          </w:p>
          <w:p w:rsidR="00E96A25" w:rsidRPr="00BB00C2" w:rsidRDefault="00E96A25" w:rsidP="00BB00C2">
            <w:pPr>
              <w:spacing w:line="259" w:lineRule="auto"/>
              <w:jc w:val="center"/>
              <w:rPr>
                <w:rFonts w:ascii="Verdana Pro" w:hAnsi="Verdana Pro"/>
                <w:sz w:val="26"/>
                <w:szCs w:val="26"/>
              </w:rPr>
            </w:pPr>
          </w:p>
        </w:tc>
        <w:tc>
          <w:tcPr>
            <w:tcW w:w="3253" w:type="dxa"/>
            <w:shd w:val="clear" w:color="auto" w:fill="FFFFFF" w:themeFill="background1"/>
            <w:hideMark/>
          </w:tcPr>
          <w:p w:rsidR="00B43BEB" w:rsidRPr="00BB00C2" w:rsidRDefault="00AB63F1" w:rsidP="00BB00C2">
            <w:pPr>
              <w:spacing w:line="259" w:lineRule="auto"/>
              <w:jc w:val="center"/>
              <w:rPr>
                <w:rFonts w:ascii="Verdana Pro" w:hAnsi="Verdana Pro"/>
                <w:sz w:val="28"/>
                <w:szCs w:val="28"/>
              </w:rPr>
            </w:pPr>
            <w:r w:rsidRPr="00BB00C2">
              <w:rPr>
                <w:rFonts w:ascii="Verdana Pro" w:hAnsi="Verdana Pro"/>
                <w:sz w:val="28"/>
                <w:szCs w:val="28"/>
              </w:rPr>
              <w:t xml:space="preserve">Given </w:t>
            </w:r>
            <w:proofErr w:type="spellStart"/>
            <w:r w:rsidRPr="00BB00C2">
              <w:rPr>
                <w:rFonts w:ascii="Verdana Pro" w:hAnsi="Verdana Pro"/>
                <w:sz w:val="28"/>
                <w:szCs w:val="28"/>
              </w:rPr>
              <w:t>s.c.</w:t>
            </w:r>
            <w:proofErr w:type="spellEnd"/>
            <w:r w:rsidRPr="00BB00C2">
              <w:rPr>
                <w:rFonts w:ascii="Verdana Pro" w:hAnsi="Verdana Pro"/>
                <w:sz w:val="28"/>
                <w:szCs w:val="28"/>
              </w:rPr>
              <w:t>, not intravenously</w:t>
            </w:r>
          </w:p>
          <w:p w:rsidR="00E96A25" w:rsidRPr="00BB00C2" w:rsidRDefault="00AB63F1" w:rsidP="00BB00C2">
            <w:pPr>
              <w:spacing w:line="259" w:lineRule="auto"/>
              <w:jc w:val="center"/>
              <w:rPr>
                <w:rFonts w:ascii="Verdana Pro" w:hAnsi="Verdana Pro"/>
                <w:sz w:val="28"/>
                <w:szCs w:val="28"/>
              </w:rPr>
            </w:pPr>
            <w:r w:rsidRPr="00BB00C2">
              <w:rPr>
                <w:rFonts w:ascii="Verdana Pro" w:hAnsi="Verdana Pro"/>
                <w:sz w:val="28"/>
                <w:szCs w:val="28"/>
              </w:rPr>
              <w:t>Should not be mixed with other insulins in the same syringe.</w:t>
            </w:r>
          </w:p>
        </w:tc>
      </w:tr>
      <w:tr w:rsidR="00BB00C2" w:rsidRPr="00BB00C2" w:rsidTr="00BB00C2">
        <w:trPr>
          <w:trHeight w:val="902"/>
        </w:trPr>
        <w:tc>
          <w:tcPr>
            <w:tcW w:w="2096" w:type="dxa"/>
            <w:shd w:val="clear" w:color="auto" w:fill="D8F6FC"/>
            <w:hideMark/>
          </w:tcPr>
          <w:p w:rsidR="00E96A25" w:rsidRPr="002E7755" w:rsidRDefault="00E96A25" w:rsidP="00BB00C2">
            <w:pPr>
              <w:spacing w:line="259" w:lineRule="auto"/>
              <w:rPr>
                <w:rFonts w:ascii="Verdana Pro" w:hAnsi="Verdana Pro"/>
                <w:b/>
                <w:bCs/>
                <w:sz w:val="26"/>
                <w:szCs w:val="26"/>
              </w:rPr>
            </w:pPr>
            <w:r w:rsidRPr="002E7755">
              <w:rPr>
                <w:rFonts w:ascii="Verdana Pro" w:hAnsi="Verdana Pro"/>
                <w:b/>
                <w:bCs/>
                <w:sz w:val="26"/>
                <w:szCs w:val="26"/>
              </w:rPr>
              <w:t>Onset of action</w:t>
            </w:r>
          </w:p>
        </w:tc>
        <w:tc>
          <w:tcPr>
            <w:tcW w:w="3325" w:type="dxa"/>
            <w:shd w:val="clear" w:color="auto" w:fill="FFFFFF" w:themeFill="background1"/>
            <w:hideMark/>
          </w:tcPr>
          <w:p w:rsidR="00E96A25" w:rsidRPr="00BB00C2" w:rsidRDefault="00E96A25" w:rsidP="00BB00C2">
            <w:pPr>
              <w:spacing w:line="259" w:lineRule="auto"/>
              <w:jc w:val="center"/>
              <w:rPr>
                <w:rFonts w:ascii="Verdana Pro" w:hAnsi="Verdana Pro"/>
                <w:sz w:val="26"/>
                <w:szCs w:val="26"/>
              </w:rPr>
            </w:pPr>
            <w:r w:rsidRPr="00BB00C2">
              <w:rPr>
                <w:rFonts w:ascii="Verdana Pro" w:hAnsi="Verdana Pro"/>
                <w:sz w:val="26"/>
                <w:szCs w:val="26"/>
              </w:rPr>
              <w:t>Fast 5 – 15 mi</w:t>
            </w:r>
            <w:bookmarkStart w:id="0" w:name="_GoBack"/>
            <w:bookmarkEnd w:id="0"/>
            <w:r w:rsidRPr="00BB00C2">
              <w:rPr>
                <w:rFonts w:ascii="Verdana Pro" w:hAnsi="Verdana Pro"/>
                <w:sz w:val="26"/>
                <w:szCs w:val="26"/>
              </w:rPr>
              <w:t>n ( S.C )</w:t>
            </w:r>
          </w:p>
        </w:tc>
        <w:tc>
          <w:tcPr>
            <w:tcW w:w="3055" w:type="dxa"/>
            <w:shd w:val="clear" w:color="auto" w:fill="FFFFFF" w:themeFill="background1"/>
            <w:hideMark/>
          </w:tcPr>
          <w:p w:rsidR="00E96A25" w:rsidRPr="00BB00C2" w:rsidRDefault="00E96A25" w:rsidP="00BB00C2">
            <w:pPr>
              <w:spacing w:line="259" w:lineRule="auto"/>
              <w:jc w:val="center"/>
              <w:rPr>
                <w:rFonts w:ascii="Verdana Pro" w:hAnsi="Verdana Pro"/>
                <w:sz w:val="26"/>
                <w:szCs w:val="26"/>
              </w:rPr>
            </w:pPr>
            <w:r w:rsidRPr="00BB00C2">
              <w:rPr>
                <w:rFonts w:ascii="Verdana Pro" w:hAnsi="Verdana Pro"/>
                <w:sz w:val="26"/>
                <w:szCs w:val="26"/>
              </w:rPr>
              <w:t>rapid 30 – 45 min ( S.C )</w:t>
            </w:r>
          </w:p>
        </w:tc>
        <w:tc>
          <w:tcPr>
            <w:tcW w:w="3622" w:type="dxa"/>
            <w:shd w:val="clear" w:color="auto" w:fill="FFFFFF" w:themeFill="background1"/>
            <w:hideMark/>
          </w:tcPr>
          <w:p w:rsidR="00E96A25" w:rsidRPr="00BB00C2" w:rsidRDefault="00BB00C2" w:rsidP="00BB00C2">
            <w:pPr>
              <w:spacing w:line="259" w:lineRule="auto"/>
              <w:jc w:val="center"/>
              <w:rPr>
                <w:rFonts w:ascii="Verdana Pro" w:hAnsi="Verdana Pro"/>
                <w:sz w:val="26"/>
                <w:szCs w:val="26"/>
              </w:rPr>
            </w:pPr>
            <w:r w:rsidRPr="00BB00C2">
              <w:rPr>
                <w:rFonts w:ascii="Verdana Pro" w:hAnsi="Verdana Pro"/>
                <w:sz w:val="26"/>
                <w:szCs w:val="26"/>
              </w:rPr>
              <w:t xml:space="preserve">NPH </w:t>
            </w:r>
            <w:r w:rsidRPr="00BB00C2">
              <w:rPr>
                <w:rFonts w:ascii="Verdana Pro" w:eastAsiaTheme="minorEastAsia" w:hAnsi="Verdana Pro"/>
                <w:color w:val="000000"/>
                <w:sz w:val="26"/>
                <w:szCs w:val="26"/>
              </w:rPr>
              <w:t>1</w:t>
            </w:r>
            <w:r w:rsidR="004C79F9" w:rsidRPr="00BB00C2">
              <w:rPr>
                <w:rFonts w:ascii="Verdana Pro" w:hAnsi="Verdana Pro"/>
                <w:sz w:val="26"/>
                <w:szCs w:val="26"/>
              </w:rPr>
              <w:t>-2 h.</w:t>
            </w:r>
          </w:p>
          <w:p w:rsidR="004C79F9" w:rsidRPr="00BB00C2" w:rsidRDefault="004C79F9" w:rsidP="00BB00C2">
            <w:pPr>
              <w:spacing w:line="259" w:lineRule="auto"/>
              <w:jc w:val="center"/>
              <w:rPr>
                <w:rFonts w:ascii="Verdana Pro" w:hAnsi="Verdana Pro"/>
                <w:sz w:val="26"/>
                <w:szCs w:val="26"/>
              </w:rPr>
            </w:pPr>
            <w:r w:rsidRPr="00BB00C2">
              <w:rPr>
                <w:rFonts w:ascii="Verdana Pro" w:hAnsi="Verdana Pro"/>
                <w:sz w:val="26"/>
                <w:szCs w:val="26"/>
              </w:rPr>
              <w:t>Lente 1-3</w:t>
            </w:r>
          </w:p>
        </w:tc>
        <w:tc>
          <w:tcPr>
            <w:tcW w:w="3253" w:type="dxa"/>
            <w:shd w:val="clear" w:color="auto" w:fill="FFFFFF" w:themeFill="background1"/>
            <w:hideMark/>
          </w:tcPr>
          <w:p w:rsidR="00E96A25" w:rsidRPr="00BB00C2" w:rsidRDefault="00717ADE" w:rsidP="00BB00C2">
            <w:pPr>
              <w:spacing w:line="259" w:lineRule="auto"/>
              <w:jc w:val="center"/>
              <w:rPr>
                <w:rFonts w:ascii="Verdana Pro" w:hAnsi="Verdana Pro"/>
                <w:sz w:val="28"/>
                <w:szCs w:val="28"/>
              </w:rPr>
            </w:pPr>
            <w:r w:rsidRPr="00BB00C2">
              <w:rPr>
                <w:rFonts w:ascii="Verdana Pro" w:hAnsi="Verdana Pro"/>
                <w:sz w:val="28"/>
                <w:szCs w:val="28"/>
              </w:rPr>
              <w:t xml:space="preserve">after 4-5 </w:t>
            </w:r>
            <w:proofErr w:type="spellStart"/>
            <w:r w:rsidRPr="00BB00C2">
              <w:rPr>
                <w:rFonts w:ascii="Verdana Pro" w:hAnsi="Verdana Pro"/>
                <w:sz w:val="28"/>
                <w:szCs w:val="28"/>
              </w:rPr>
              <w:t>hrs</w:t>
            </w:r>
            <w:proofErr w:type="spellEnd"/>
          </w:p>
        </w:tc>
      </w:tr>
      <w:tr w:rsidR="00BB00C2" w:rsidRPr="00BB00C2" w:rsidTr="00BB00C2">
        <w:trPr>
          <w:trHeight w:val="1085"/>
        </w:trPr>
        <w:tc>
          <w:tcPr>
            <w:tcW w:w="2096" w:type="dxa"/>
            <w:shd w:val="clear" w:color="auto" w:fill="D8F6FC"/>
            <w:hideMark/>
          </w:tcPr>
          <w:p w:rsidR="00E96A25" w:rsidRPr="002E7755" w:rsidRDefault="00E96A25" w:rsidP="00BB00C2">
            <w:pPr>
              <w:spacing w:line="259" w:lineRule="auto"/>
              <w:rPr>
                <w:rFonts w:ascii="Verdana Pro" w:hAnsi="Verdana Pro"/>
                <w:b/>
                <w:bCs/>
                <w:sz w:val="26"/>
                <w:szCs w:val="26"/>
              </w:rPr>
            </w:pPr>
            <w:r w:rsidRPr="002E7755">
              <w:rPr>
                <w:rFonts w:ascii="Verdana Pro" w:hAnsi="Verdana Pro"/>
                <w:b/>
                <w:bCs/>
                <w:sz w:val="26"/>
                <w:szCs w:val="26"/>
              </w:rPr>
              <w:t>Peak level</w:t>
            </w:r>
          </w:p>
        </w:tc>
        <w:tc>
          <w:tcPr>
            <w:tcW w:w="3325" w:type="dxa"/>
            <w:shd w:val="clear" w:color="auto" w:fill="FFFFFF" w:themeFill="background1"/>
            <w:hideMark/>
          </w:tcPr>
          <w:p w:rsidR="00E96A25" w:rsidRPr="00BB00C2" w:rsidRDefault="00E96A25" w:rsidP="00BB00C2">
            <w:pPr>
              <w:spacing w:line="259" w:lineRule="auto"/>
              <w:jc w:val="center"/>
              <w:rPr>
                <w:rFonts w:ascii="Verdana Pro" w:hAnsi="Verdana Pro"/>
                <w:sz w:val="26"/>
                <w:szCs w:val="26"/>
              </w:rPr>
            </w:pPr>
            <w:r w:rsidRPr="00BB00C2">
              <w:rPr>
                <w:rFonts w:ascii="Verdana Pro" w:hAnsi="Verdana Pro"/>
                <w:sz w:val="26"/>
                <w:szCs w:val="26"/>
              </w:rPr>
              <w:t>30 – 90 min</w:t>
            </w:r>
          </w:p>
        </w:tc>
        <w:tc>
          <w:tcPr>
            <w:tcW w:w="3055" w:type="dxa"/>
            <w:shd w:val="clear" w:color="auto" w:fill="FFFFFF" w:themeFill="background1"/>
            <w:hideMark/>
          </w:tcPr>
          <w:p w:rsidR="00E96A25" w:rsidRPr="00BB00C2" w:rsidRDefault="00E96A25" w:rsidP="00BB00C2">
            <w:pPr>
              <w:spacing w:line="259" w:lineRule="auto"/>
              <w:jc w:val="center"/>
              <w:rPr>
                <w:rFonts w:ascii="Verdana Pro" w:hAnsi="Verdana Pro"/>
                <w:sz w:val="26"/>
                <w:szCs w:val="26"/>
              </w:rPr>
            </w:pPr>
            <w:r w:rsidRPr="00BB00C2">
              <w:rPr>
                <w:rFonts w:ascii="Verdana Pro" w:hAnsi="Verdana Pro"/>
                <w:sz w:val="26"/>
                <w:szCs w:val="26"/>
              </w:rPr>
              <w:t xml:space="preserve">2 – 4 </w:t>
            </w:r>
            <w:proofErr w:type="spellStart"/>
            <w:r w:rsidRPr="00BB00C2">
              <w:rPr>
                <w:rFonts w:ascii="Verdana Pro" w:hAnsi="Verdana Pro"/>
                <w:sz w:val="26"/>
                <w:szCs w:val="26"/>
              </w:rPr>
              <w:t>hr</w:t>
            </w:r>
            <w:proofErr w:type="spellEnd"/>
          </w:p>
        </w:tc>
        <w:tc>
          <w:tcPr>
            <w:tcW w:w="3622" w:type="dxa"/>
            <w:shd w:val="clear" w:color="auto" w:fill="FFFFFF" w:themeFill="background1"/>
            <w:hideMark/>
          </w:tcPr>
          <w:p w:rsidR="00E96A25" w:rsidRPr="00BB00C2" w:rsidRDefault="00BB00C2" w:rsidP="00BB00C2">
            <w:pPr>
              <w:spacing w:line="259" w:lineRule="auto"/>
              <w:jc w:val="center"/>
              <w:rPr>
                <w:rFonts w:ascii="Verdana Pro" w:hAnsi="Verdana Pro"/>
                <w:sz w:val="26"/>
                <w:szCs w:val="26"/>
              </w:rPr>
            </w:pPr>
            <w:r w:rsidRPr="00BB00C2">
              <w:rPr>
                <w:rFonts w:ascii="Verdana Pro" w:hAnsi="Verdana Pro"/>
                <w:sz w:val="26"/>
                <w:szCs w:val="26"/>
              </w:rPr>
              <w:t>NPH 5</w:t>
            </w:r>
            <w:r w:rsidR="004C79F9" w:rsidRPr="00BB00C2">
              <w:rPr>
                <w:rFonts w:ascii="Verdana Pro" w:hAnsi="Verdana Pro"/>
                <w:sz w:val="26"/>
                <w:szCs w:val="26"/>
              </w:rPr>
              <w:t>-7 h.</w:t>
            </w:r>
          </w:p>
          <w:p w:rsidR="004C79F9" w:rsidRPr="00BB00C2" w:rsidRDefault="004C79F9" w:rsidP="00BB00C2">
            <w:pPr>
              <w:spacing w:line="259" w:lineRule="auto"/>
              <w:jc w:val="center"/>
              <w:rPr>
                <w:rFonts w:ascii="Verdana Pro" w:hAnsi="Verdana Pro"/>
                <w:sz w:val="26"/>
                <w:szCs w:val="26"/>
              </w:rPr>
            </w:pPr>
            <w:r w:rsidRPr="00BB00C2">
              <w:rPr>
                <w:rFonts w:ascii="Verdana Pro" w:hAnsi="Verdana Pro"/>
                <w:sz w:val="26"/>
                <w:szCs w:val="26"/>
              </w:rPr>
              <w:t>Lente</w:t>
            </w:r>
            <w:r w:rsidR="00717ADE" w:rsidRPr="00BB00C2">
              <w:rPr>
                <w:rFonts w:ascii="Verdana Pro" w:hAnsi="Verdana Pro"/>
                <w:sz w:val="26"/>
                <w:szCs w:val="26"/>
              </w:rPr>
              <w:t xml:space="preserve"> 4-8 h</w:t>
            </w:r>
          </w:p>
        </w:tc>
        <w:tc>
          <w:tcPr>
            <w:tcW w:w="3253" w:type="dxa"/>
            <w:shd w:val="clear" w:color="auto" w:fill="FFFFFF" w:themeFill="background1"/>
            <w:hideMark/>
          </w:tcPr>
          <w:p w:rsidR="00717ADE" w:rsidRPr="00BB00C2" w:rsidRDefault="00717ADE" w:rsidP="00BB00C2">
            <w:pPr>
              <w:spacing w:line="259" w:lineRule="auto"/>
              <w:jc w:val="center"/>
              <w:rPr>
                <w:rFonts w:ascii="Verdana Pro" w:hAnsi="Verdana Pro"/>
                <w:sz w:val="28"/>
                <w:szCs w:val="28"/>
              </w:rPr>
            </w:pPr>
            <w:r w:rsidRPr="00BB00C2">
              <w:rPr>
                <w:rFonts w:ascii="Verdana Pro" w:hAnsi="Verdana Pro"/>
                <w:sz w:val="28"/>
                <w:szCs w:val="28"/>
              </w:rPr>
              <w:t>Non</w:t>
            </w:r>
          </w:p>
          <w:p w:rsidR="00E96A25" w:rsidRPr="00BB00C2" w:rsidRDefault="00717ADE" w:rsidP="00BB00C2">
            <w:pPr>
              <w:spacing w:line="259" w:lineRule="auto"/>
              <w:jc w:val="center"/>
              <w:rPr>
                <w:rFonts w:ascii="Verdana Pro" w:hAnsi="Verdana Pro"/>
                <w:sz w:val="28"/>
                <w:szCs w:val="28"/>
              </w:rPr>
            </w:pPr>
            <w:r w:rsidRPr="00BB00C2">
              <w:rPr>
                <w:rFonts w:ascii="Verdana Pro" w:hAnsi="Verdana Pro"/>
                <w:sz w:val="28"/>
                <w:szCs w:val="28"/>
              </w:rPr>
              <w:t>peakless profile</w:t>
            </w:r>
          </w:p>
        </w:tc>
      </w:tr>
      <w:tr w:rsidR="00BB00C2" w:rsidRPr="00BB00C2" w:rsidTr="00BB00C2">
        <w:trPr>
          <w:trHeight w:val="816"/>
        </w:trPr>
        <w:tc>
          <w:tcPr>
            <w:tcW w:w="2096" w:type="dxa"/>
            <w:shd w:val="clear" w:color="auto" w:fill="D8F6FC"/>
          </w:tcPr>
          <w:p w:rsidR="004C79F9" w:rsidRPr="002E7755" w:rsidRDefault="004C79F9" w:rsidP="00BB00C2">
            <w:pPr>
              <w:rPr>
                <w:rFonts w:ascii="Verdana Pro" w:hAnsi="Verdana Pro"/>
                <w:b/>
                <w:bCs/>
                <w:sz w:val="26"/>
                <w:szCs w:val="26"/>
              </w:rPr>
            </w:pPr>
            <w:r w:rsidRPr="002E7755">
              <w:rPr>
                <w:rFonts w:ascii="Verdana Pro" w:hAnsi="Verdana Pro"/>
                <w:b/>
                <w:bCs/>
                <w:sz w:val="26"/>
                <w:szCs w:val="26"/>
              </w:rPr>
              <w:t xml:space="preserve">Duration </w:t>
            </w:r>
          </w:p>
        </w:tc>
        <w:tc>
          <w:tcPr>
            <w:tcW w:w="3325" w:type="dxa"/>
            <w:shd w:val="clear" w:color="auto" w:fill="FFFFFF" w:themeFill="background1"/>
          </w:tcPr>
          <w:p w:rsidR="004C79F9" w:rsidRPr="00BB00C2" w:rsidRDefault="00717ADE" w:rsidP="00BB00C2">
            <w:pPr>
              <w:jc w:val="center"/>
              <w:rPr>
                <w:rFonts w:ascii="Verdana Pro" w:hAnsi="Verdana Pro"/>
                <w:sz w:val="26"/>
                <w:szCs w:val="26"/>
              </w:rPr>
            </w:pPr>
            <w:r w:rsidRPr="00BB00C2">
              <w:rPr>
                <w:rFonts w:ascii="Verdana Pro" w:hAnsi="Verdana Pro"/>
                <w:sz w:val="26"/>
                <w:szCs w:val="26"/>
              </w:rPr>
              <w:t xml:space="preserve">3 – 5 </w:t>
            </w:r>
            <w:proofErr w:type="spellStart"/>
            <w:r w:rsidRPr="00BB00C2">
              <w:rPr>
                <w:rFonts w:ascii="Verdana Pro" w:hAnsi="Verdana Pro"/>
                <w:sz w:val="26"/>
                <w:szCs w:val="26"/>
              </w:rPr>
              <w:t>hr</w:t>
            </w:r>
            <w:proofErr w:type="spellEnd"/>
            <w:r w:rsidRPr="00BB00C2">
              <w:rPr>
                <w:rFonts w:ascii="Verdana Pro" w:hAnsi="Verdana Pro"/>
                <w:sz w:val="26"/>
                <w:szCs w:val="26"/>
              </w:rPr>
              <w:t xml:space="preserve"> Shorter</w:t>
            </w:r>
          </w:p>
        </w:tc>
        <w:tc>
          <w:tcPr>
            <w:tcW w:w="3055" w:type="dxa"/>
            <w:shd w:val="clear" w:color="auto" w:fill="FFFFFF" w:themeFill="background1"/>
          </w:tcPr>
          <w:p w:rsidR="004C79F9" w:rsidRPr="00BB00C2" w:rsidRDefault="00717ADE" w:rsidP="00BB00C2">
            <w:pPr>
              <w:jc w:val="center"/>
              <w:rPr>
                <w:rFonts w:ascii="Verdana Pro" w:hAnsi="Verdana Pro"/>
                <w:sz w:val="26"/>
                <w:szCs w:val="26"/>
              </w:rPr>
            </w:pPr>
            <w:r w:rsidRPr="00BB00C2">
              <w:rPr>
                <w:rFonts w:ascii="Verdana Pro" w:hAnsi="Verdana Pro"/>
                <w:sz w:val="26"/>
                <w:szCs w:val="26"/>
              </w:rPr>
              <w:t xml:space="preserve">6 – 8 </w:t>
            </w:r>
            <w:proofErr w:type="spellStart"/>
            <w:r w:rsidRPr="00BB00C2">
              <w:rPr>
                <w:rFonts w:ascii="Verdana Pro" w:hAnsi="Verdana Pro"/>
                <w:sz w:val="26"/>
                <w:szCs w:val="26"/>
              </w:rPr>
              <w:t>hr</w:t>
            </w:r>
            <w:proofErr w:type="spellEnd"/>
            <w:r w:rsidRPr="00BB00C2">
              <w:rPr>
                <w:rFonts w:ascii="Verdana Pro" w:hAnsi="Verdana Pro"/>
                <w:sz w:val="26"/>
                <w:szCs w:val="26"/>
              </w:rPr>
              <w:t xml:space="preserve"> longer</w:t>
            </w:r>
          </w:p>
        </w:tc>
        <w:tc>
          <w:tcPr>
            <w:tcW w:w="3622" w:type="dxa"/>
            <w:shd w:val="clear" w:color="auto" w:fill="FFFFFF" w:themeFill="background1"/>
          </w:tcPr>
          <w:p w:rsidR="004C79F9" w:rsidRPr="00BB00C2" w:rsidRDefault="004C79F9" w:rsidP="00BB00C2">
            <w:pPr>
              <w:spacing w:line="259" w:lineRule="auto"/>
              <w:jc w:val="center"/>
              <w:rPr>
                <w:rFonts w:ascii="Verdana Pro" w:hAnsi="Verdana Pro"/>
                <w:sz w:val="26"/>
                <w:szCs w:val="26"/>
              </w:rPr>
            </w:pPr>
            <w:r w:rsidRPr="00BB00C2">
              <w:rPr>
                <w:rFonts w:ascii="Verdana Pro" w:hAnsi="Verdana Pro"/>
                <w:sz w:val="26"/>
                <w:szCs w:val="26"/>
              </w:rPr>
              <w:t>NPH 13-18 h</w:t>
            </w:r>
          </w:p>
          <w:p w:rsidR="004C79F9" w:rsidRPr="00BB00C2" w:rsidRDefault="004C79F9" w:rsidP="00BB00C2">
            <w:pPr>
              <w:jc w:val="center"/>
              <w:rPr>
                <w:rFonts w:ascii="Verdana Pro" w:hAnsi="Verdana Pro"/>
                <w:sz w:val="26"/>
                <w:szCs w:val="26"/>
              </w:rPr>
            </w:pPr>
            <w:r w:rsidRPr="00BB00C2">
              <w:rPr>
                <w:rFonts w:ascii="Verdana Pro" w:hAnsi="Verdana Pro"/>
                <w:sz w:val="26"/>
                <w:szCs w:val="26"/>
              </w:rPr>
              <w:t>Lente</w:t>
            </w:r>
            <w:r w:rsidR="00717ADE" w:rsidRPr="00BB00C2">
              <w:rPr>
                <w:rFonts w:ascii="Verdana Pro" w:hAnsi="Verdana Pro"/>
                <w:sz w:val="26"/>
                <w:szCs w:val="26"/>
              </w:rPr>
              <w:t xml:space="preserve"> 13-20 h</w:t>
            </w:r>
          </w:p>
        </w:tc>
        <w:tc>
          <w:tcPr>
            <w:tcW w:w="3253" w:type="dxa"/>
            <w:shd w:val="clear" w:color="auto" w:fill="FFFFFF" w:themeFill="background1"/>
          </w:tcPr>
          <w:p w:rsidR="004C79F9" w:rsidRPr="00BB00C2" w:rsidRDefault="00717ADE" w:rsidP="00BB00C2">
            <w:pPr>
              <w:jc w:val="center"/>
              <w:rPr>
                <w:rFonts w:ascii="Verdana Pro" w:hAnsi="Verdana Pro"/>
                <w:sz w:val="28"/>
                <w:szCs w:val="28"/>
              </w:rPr>
            </w:pPr>
            <w:r w:rsidRPr="00BB00C2">
              <w:rPr>
                <w:rFonts w:ascii="Verdana Pro" w:hAnsi="Verdana Pro"/>
                <w:sz w:val="28"/>
                <w:szCs w:val="28"/>
              </w:rPr>
              <w:t>24 h</w:t>
            </w:r>
          </w:p>
        </w:tc>
      </w:tr>
      <w:tr w:rsidR="00BB00C2" w:rsidRPr="00BB00C2" w:rsidTr="00BB00C2">
        <w:trPr>
          <w:trHeight w:val="1085"/>
        </w:trPr>
        <w:tc>
          <w:tcPr>
            <w:tcW w:w="2096" w:type="dxa"/>
            <w:shd w:val="clear" w:color="auto" w:fill="D8F6FC"/>
          </w:tcPr>
          <w:p w:rsidR="004C79F9" w:rsidRPr="002E7755" w:rsidRDefault="004C79F9" w:rsidP="00BB00C2">
            <w:pPr>
              <w:rPr>
                <w:rFonts w:ascii="Verdana Pro" w:hAnsi="Verdana Pro"/>
                <w:b/>
                <w:bCs/>
                <w:sz w:val="26"/>
                <w:szCs w:val="26"/>
              </w:rPr>
            </w:pPr>
            <w:r w:rsidRPr="002E7755">
              <w:rPr>
                <w:rFonts w:ascii="Verdana Pro" w:hAnsi="Verdana Pro"/>
                <w:b/>
                <w:bCs/>
                <w:sz w:val="26"/>
                <w:szCs w:val="26"/>
              </w:rPr>
              <w:t>Other info</w:t>
            </w:r>
          </w:p>
        </w:tc>
        <w:tc>
          <w:tcPr>
            <w:tcW w:w="3325" w:type="dxa"/>
            <w:shd w:val="clear" w:color="auto" w:fill="FFFFFF" w:themeFill="background1"/>
          </w:tcPr>
          <w:p w:rsidR="004C79F9" w:rsidRPr="00BB00C2" w:rsidRDefault="002C1245" w:rsidP="00BB00C2">
            <w:pPr>
              <w:jc w:val="center"/>
              <w:rPr>
                <w:rFonts w:ascii="Verdana Pro" w:hAnsi="Verdana Pro"/>
                <w:sz w:val="26"/>
                <w:szCs w:val="26"/>
              </w:rPr>
            </w:pPr>
            <w:r w:rsidRPr="00BB00C2">
              <w:rPr>
                <w:rFonts w:ascii="Verdana Pro" w:hAnsi="Verdana Pro"/>
                <w:sz w:val="26"/>
                <w:szCs w:val="26"/>
              </w:rPr>
              <w:t>mixed with another insulin  preparation</w:t>
            </w:r>
            <w:r w:rsidR="00580029" w:rsidRPr="00BB00C2">
              <w:rPr>
                <w:rFonts w:ascii="Verdana Pro" w:hAnsi="Verdana Pro"/>
                <w:sz w:val="26"/>
                <w:szCs w:val="26"/>
              </w:rPr>
              <w:t xml:space="preserve"> with  </w:t>
            </w:r>
            <w:r w:rsidR="00580029" w:rsidRPr="00BB00C2">
              <w:rPr>
                <w:rFonts w:ascii="Verdana Pro" w:hAnsi="Verdana Pro"/>
                <w:sz w:val="26"/>
                <w:szCs w:val="26"/>
              </w:rPr>
              <w:t>NPH</w:t>
            </w:r>
          </w:p>
        </w:tc>
        <w:tc>
          <w:tcPr>
            <w:tcW w:w="3055" w:type="dxa"/>
            <w:shd w:val="clear" w:color="auto" w:fill="FFFFFF" w:themeFill="background1"/>
          </w:tcPr>
          <w:p w:rsidR="004C79F9" w:rsidRPr="00BB00C2" w:rsidRDefault="004C79F9" w:rsidP="00BB00C2">
            <w:pPr>
              <w:jc w:val="center"/>
              <w:rPr>
                <w:rFonts w:ascii="Verdana Pro" w:hAnsi="Verdana Pro"/>
                <w:sz w:val="26"/>
                <w:szCs w:val="26"/>
              </w:rPr>
            </w:pPr>
          </w:p>
        </w:tc>
        <w:tc>
          <w:tcPr>
            <w:tcW w:w="3622" w:type="dxa"/>
            <w:shd w:val="clear" w:color="auto" w:fill="FFFFFF" w:themeFill="background1"/>
          </w:tcPr>
          <w:p w:rsidR="002C1245" w:rsidRPr="00BB00C2" w:rsidRDefault="002C1245" w:rsidP="00BB00C2">
            <w:pPr>
              <w:jc w:val="center"/>
              <w:rPr>
                <w:rFonts w:ascii="Verdana Pro" w:hAnsi="Verdana Pro"/>
                <w:sz w:val="26"/>
                <w:szCs w:val="26"/>
              </w:rPr>
            </w:pPr>
            <w:r w:rsidRPr="00BB00C2">
              <w:rPr>
                <w:rFonts w:ascii="Verdana Pro" w:hAnsi="Verdana Pro"/>
                <w:sz w:val="26"/>
                <w:szCs w:val="26"/>
              </w:rPr>
              <w:t xml:space="preserve">Given in </w:t>
            </w:r>
            <w:r w:rsidR="00BB00C2" w:rsidRPr="00BB00C2">
              <w:rPr>
                <w:rFonts w:ascii="Verdana Pro" w:hAnsi="Verdana Pro"/>
                <w:sz w:val="26"/>
                <w:szCs w:val="26"/>
              </w:rPr>
              <w:t>preparations</w:t>
            </w:r>
            <w:r w:rsidRPr="00BB00C2">
              <w:rPr>
                <w:rFonts w:ascii="Verdana Pro" w:hAnsi="Verdana Pro"/>
                <w:sz w:val="26"/>
                <w:szCs w:val="26"/>
              </w:rPr>
              <w:t xml:space="preserve"> with rapid acting insulin</w:t>
            </w:r>
          </w:p>
          <w:p w:rsidR="002C1245" w:rsidRPr="00BB00C2" w:rsidRDefault="00960607" w:rsidP="00BB00C2">
            <w:pPr>
              <w:jc w:val="center"/>
              <w:rPr>
                <w:rFonts w:ascii="Verdana Pro" w:hAnsi="Verdana Pro"/>
                <w:sz w:val="26"/>
                <w:szCs w:val="26"/>
              </w:rPr>
            </w:pPr>
            <w:r w:rsidRPr="00BB00C2">
              <w:rPr>
                <w:rFonts w:ascii="Verdana Pro" w:hAnsi="Verdana Pro"/>
                <w:sz w:val="26"/>
                <w:szCs w:val="26"/>
              </w:rPr>
              <w:t xml:space="preserve">(NPL= NPH / </w:t>
            </w:r>
            <w:proofErr w:type="spellStart"/>
            <w:r w:rsidRPr="00BB00C2">
              <w:rPr>
                <w:rFonts w:ascii="Verdana Pro" w:hAnsi="Verdana Pro"/>
                <w:sz w:val="26"/>
                <w:szCs w:val="26"/>
              </w:rPr>
              <w:t>lispro</w:t>
            </w:r>
            <w:proofErr w:type="spellEnd"/>
            <w:r w:rsidRPr="00BB00C2">
              <w:rPr>
                <w:rFonts w:ascii="Verdana Pro" w:hAnsi="Verdana Pro"/>
                <w:sz w:val="26"/>
                <w:szCs w:val="26"/>
              </w:rPr>
              <w:t>)</w:t>
            </w:r>
          </w:p>
          <w:p w:rsidR="004C79F9" w:rsidRPr="00BB00C2" w:rsidRDefault="00960607" w:rsidP="00BB00C2">
            <w:pPr>
              <w:jc w:val="center"/>
              <w:rPr>
                <w:rFonts w:ascii="Verdana Pro" w:hAnsi="Verdana Pro"/>
                <w:sz w:val="26"/>
                <w:szCs w:val="26"/>
              </w:rPr>
            </w:pPr>
            <w:r w:rsidRPr="00BB00C2">
              <w:rPr>
                <w:rFonts w:ascii="Verdana Pro" w:hAnsi="Verdana Pro"/>
                <w:sz w:val="26"/>
                <w:szCs w:val="26"/>
              </w:rPr>
              <w:t xml:space="preserve">(NPA= NPH / </w:t>
            </w:r>
            <w:proofErr w:type="spellStart"/>
            <w:r w:rsidRPr="00BB00C2">
              <w:rPr>
                <w:rFonts w:ascii="Verdana Pro" w:hAnsi="Verdana Pro"/>
                <w:sz w:val="26"/>
                <w:szCs w:val="26"/>
              </w:rPr>
              <w:t>aspart</w:t>
            </w:r>
            <w:proofErr w:type="spellEnd"/>
            <w:r w:rsidRPr="00BB00C2">
              <w:rPr>
                <w:rFonts w:ascii="Verdana Pro" w:hAnsi="Verdana Pro"/>
                <w:sz w:val="26"/>
                <w:szCs w:val="26"/>
              </w:rPr>
              <w:t>)</w:t>
            </w:r>
          </w:p>
        </w:tc>
        <w:tc>
          <w:tcPr>
            <w:tcW w:w="3253" w:type="dxa"/>
            <w:shd w:val="clear" w:color="auto" w:fill="FFFFFF" w:themeFill="background1"/>
          </w:tcPr>
          <w:p w:rsidR="00000000" w:rsidRPr="00BB00C2" w:rsidRDefault="002E7755" w:rsidP="00BB00C2">
            <w:pPr>
              <w:jc w:val="center"/>
              <w:rPr>
                <w:rFonts w:ascii="Verdana Pro" w:hAnsi="Verdana Pro"/>
                <w:sz w:val="28"/>
                <w:szCs w:val="28"/>
              </w:rPr>
            </w:pPr>
            <w:r w:rsidRPr="00BB00C2">
              <w:rPr>
                <w:rFonts w:ascii="Verdana Pro" w:hAnsi="Verdana Pro"/>
                <w:sz w:val="28"/>
                <w:szCs w:val="28"/>
              </w:rPr>
              <w:t>Safer than NPH &amp; Lente insulins</w:t>
            </w:r>
          </w:p>
          <w:p w:rsidR="004C79F9" w:rsidRPr="00BB00C2" w:rsidRDefault="004C79F9" w:rsidP="00BB00C2">
            <w:pPr>
              <w:jc w:val="center"/>
              <w:rPr>
                <w:rFonts w:ascii="Verdana Pro" w:hAnsi="Verdana Pro"/>
                <w:sz w:val="28"/>
                <w:szCs w:val="28"/>
              </w:rPr>
            </w:pPr>
          </w:p>
        </w:tc>
      </w:tr>
    </w:tbl>
    <w:p w:rsidR="00E96A25" w:rsidRPr="00BB00C2" w:rsidRDefault="00E96A25" w:rsidP="00E96A25">
      <w:pPr>
        <w:rPr>
          <w:rFonts w:ascii="Verdana Pro" w:hAnsi="Verdana Pro"/>
          <w:sz w:val="28"/>
          <w:szCs w:val="28"/>
        </w:rPr>
      </w:pPr>
    </w:p>
    <w:sectPr w:rsidR="00E96A25" w:rsidRPr="00BB00C2" w:rsidSect="00AB63F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41C7F"/>
    <w:multiLevelType w:val="hybridMultilevel"/>
    <w:tmpl w:val="BD9A6DD0"/>
    <w:lvl w:ilvl="0" w:tplc="4B0C98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B647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EB77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A2A8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A16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EA73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962F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D0DC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7697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17C6E"/>
    <w:multiLevelType w:val="hybridMultilevel"/>
    <w:tmpl w:val="D20E1690"/>
    <w:lvl w:ilvl="0" w:tplc="E932D4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216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EA59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326C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3E87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F8F3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A41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BE1A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E831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10D82"/>
    <w:multiLevelType w:val="hybridMultilevel"/>
    <w:tmpl w:val="B2588CB2"/>
    <w:lvl w:ilvl="0" w:tplc="2758A8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9AF3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E42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4EE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72C2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639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465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5C71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8AD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F53B9"/>
    <w:multiLevelType w:val="hybridMultilevel"/>
    <w:tmpl w:val="6D3ADB0E"/>
    <w:lvl w:ilvl="0" w:tplc="39D4C6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E99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AC6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0EB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080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F03D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4D6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FEE4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C071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86CCA"/>
    <w:multiLevelType w:val="hybridMultilevel"/>
    <w:tmpl w:val="AE163470"/>
    <w:lvl w:ilvl="0" w:tplc="F49A3C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803C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6BE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047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8620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DC87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D01D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12A2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2276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2432B"/>
    <w:multiLevelType w:val="hybridMultilevel"/>
    <w:tmpl w:val="F77CFEB8"/>
    <w:lvl w:ilvl="0" w:tplc="60D41D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EA71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EA41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4D75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9A9A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CCB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A0D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2E97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E4F0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A2F83"/>
    <w:multiLevelType w:val="hybridMultilevel"/>
    <w:tmpl w:val="FBB287D2"/>
    <w:lvl w:ilvl="0" w:tplc="EBE8AC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36B6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C6D1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C58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3A58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94C3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22D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A8B2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AEFD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25"/>
    <w:rsid w:val="001B4B79"/>
    <w:rsid w:val="002C1245"/>
    <w:rsid w:val="002E7755"/>
    <w:rsid w:val="004C79F9"/>
    <w:rsid w:val="004D508F"/>
    <w:rsid w:val="00580029"/>
    <w:rsid w:val="00717ADE"/>
    <w:rsid w:val="007C1662"/>
    <w:rsid w:val="00960607"/>
    <w:rsid w:val="00AB63F1"/>
    <w:rsid w:val="00B43BEB"/>
    <w:rsid w:val="00B8166B"/>
    <w:rsid w:val="00BB00C2"/>
    <w:rsid w:val="00E96A25"/>
    <w:rsid w:val="00EA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9E1988-6201-4846-9696-98A930A9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5">
    <w:name w:val="Grid Table 1 Light Accent 5"/>
    <w:basedOn w:val="TableNormal"/>
    <w:uiPriority w:val="46"/>
    <w:rsid w:val="00E96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E9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79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3914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3257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1801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4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6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8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76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986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hadeel alsulami</dc:creator>
  <cp:keywords/>
  <dc:description/>
  <cp:lastModifiedBy>hadeel alsulami</cp:lastModifiedBy>
  <cp:revision>6</cp:revision>
  <dcterms:created xsi:type="dcterms:W3CDTF">2016-02-18T04:47:00Z</dcterms:created>
  <dcterms:modified xsi:type="dcterms:W3CDTF">2016-02-19T05:06:00Z</dcterms:modified>
</cp:coreProperties>
</file>