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901" w:rsidRPr="006B738D" w:rsidRDefault="00283BF5" w:rsidP="00283BF5">
      <w:pPr>
        <w:jc w:val="center"/>
        <w:rPr>
          <w:rFonts w:ascii="Calibri" w:hAnsi="Calibri"/>
        </w:rPr>
      </w:pPr>
      <w:r w:rsidRPr="006B738D">
        <w:rPr>
          <w:rFonts w:ascii="Calibri" w:hAnsi="Calibri"/>
        </w:rPr>
        <w:t xml:space="preserve">TB – </w:t>
      </w:r>
      <w:r w:rsidR="00F92901" w:rsidRPr="006B738D">
        <w:rPr>
          <w:rFonts w:ascii="Calibri" w:hAnsi="Calibri"/>
        </w:rPr>
        <w:t>Epidemiology</w:t>
      </w:r>
      <w:r w:rsidRPr="006B738D">
        <w:rPr>
          <w:rFonts w:ascii="Calibri" w:hAnsi="Calibri"/>
        </w:rPr>
        <w:t>, Prevention, Control</w:t>
      </w:r>
      <w:r w:rsidR="00F92901" w:rsidRPr="006B738D">
        <w:rPr>
          <w:rFonts w:ascii="Calibri" w:hAnsi="Calibri"/>
        </w:rPr>
        <w:t xml:space="preserve"> </w:t>
      </w:r>
    </w:p>
    <w:p w:rsidR="00EE3254" w:rsidRPr="006B738D" w:rsidRDefault="00EE3254" w:rsidP="00F92901">
      <w:pPr>
        <w:jc w:val="center"/>
        <w:rPr>
          <w:rFonts w:ascii="Calibri" w:hAnsi="Calibri"/>
        </w:rPr>
      </w:pPr>
    </w:p>
    <w:p w:rsidR="00BF3F78" w:rsidRPr="006B738D" w:rsidRDefault="00BF3F78" w:rsidP="00BF3F78">
      <w:pPr>
        <w:pStyle w:val="a3"/>
        <w:ind w:left="0"/>
        <w:jc w:val="both"/>
        <w:rPr>
          <w:rFonts w:ascii="Calibri" w:hAnsi="Calibri" w:cs="Times New Roman"/>
        </w:rPr>
      </w:pPr>
    </w:p>
    <w:p w:rsidR="00BF3F78" w:rsidRPr="006B738D" w:rsidRDefault="00C700A7" w:rsidP="005E2AC9">
      <w:pPr>
        <w:pStyle w:val="a3"/>
        <w:ind w:left="0"/>
        <w:jc w:val="both"/>
        <w:rPr>
          <w:rFonts w:ascii="Calibri" w:hAnsi="Calibri"/>
        </w:rPr>
      </w:pPr>
      <w:r w:rsidRPr="006B738D">
        <w:rPr>
          <w:rFonts w:ascii="Calibri" w:hAnsi="Calibri" w:cs="Times New Roman"/>
        </w:rPr>
        <w:t>Tuberculosis (TB) is bacterial disease caused by the bacillus (Mycobacterium tuberculosis) and propagated through airborne droplets from the infected person.</w:t>
      </w:r>
      <w:r w:rsidR="00BF3F78" w:rsidRPr="006B738D">
        <w:rPr>
          <w:rFonts w:ascii="Calibri" w:hAnsi="Calibri" w:cs="Times New Roman"/>
        </w:rPr>
        <w:t xml:space="preserve"> </w:t>
      </w:r>
      <w:r w:rsidRPr="006B738D">
        <w:rPr>
          <w:rFonts w:ascii="Calibri" w:hAnsi="Calibri" w:cs="Times New Roman"/>
        </w:rPr>
        <w:t>TB can affect other organs and areas of the body (</w:t>
      </w:r>
      <w:r w:rsidR="005E2AC9" w:rsidRPr="006B738D">
        <w:rPr>
          <w:rFonts w:ascii="Calibri" w:hAnsi="Calibri" w:cs="Times New Roman"/>
        </w:rPr>
        <w:t>e</w:t>
      </w:r>
      <w:r w:rsidRPr="006B738D">
        <w:rPr>
          <w:rFonts w:ascii="Calibri" w:hAnsi="Calibri" w:cs="Times New Roman"/>
        </w:rPr>
        <w:t xml:space="preserve">xtrapulmonary TB) but lung infection is the most common (pulmonary TB). </w:t>
      </w:r>
      <w:r w:rsidR="00BF3F78" w:rsidRPr="006B738D">
        <w:rPr>
          <w:rFonts w:ascii="Calibri" w:hAnsi="Calibri"/>
        </w:rPr>
        <w:t xml:space="preserve">TB is spread from person to person through the air. When people with active lung TB cough, sneeze or spit, they propel the TB germs into the air. </w:t>
      </w:r>
      <w:r w:rsidR="006D6CA0" w:rsidRPr="006B738D">
        <w:rPr>
          <w:rFonts w:ascii="Calibri" w:hAnsi="Calibri"/>
        </w:rPr>
        <w:t>People ill with TB can infect up to 10-15 other people through close contact over the course of a year.</w:t>
      </w:r>
    </w:p>
    <w:p w:rsidR="00BF3F78" w:rsidRPr="006B738D" w:rsidRDefault="00BF3F78" w:rsidP="00BF3F78">
      <w:pPr>
        <w:pStyle w:val="a3"/>
        <w:ind w:left="0"/>
        <w:rPr>
          <w:rFonts w:ascii="Calibri" w:hAnsi="Calibri" w:cs="Times New Roman"/>
        </w:rPr>
      </w:pPr>
    </w:p>
    <w:p w:rsidR="00BF3F78" w:rsidRPr="006B738D" w:rsidRDefault="00C700A7" w:rsidP="00BF3F78">
      <w:pPr>
        <w:pStyle w:val="a3"/>
        <w:ind w:left="0"/>
        <w:rPr>
          <w:rFonts w:ascii="Calibri" w:hAnsi="Calibri" w:cs="Times New Roman"/>
          <w:b/>
          <w:u w:val="single"/>
        </w:rPr>
      </w:pPr>
      <w:r w:rsidRPr="006B738D">
        <w:rPr>
          <w:rFonts w:ascii="Calibri" w:hAnsi="Calibri" w:cs="Times New Roman"/>
        </w:rPr>
        <w:t>People with primary TB hav</w:t>
      </w:r>
      <w:r w:rsidR="00BF3F78" w:rsidRPr="006B738D">
        <w:rPr>
          <w:rFonts w:ascii="Calibri" w:hAnsi="Calibri" w:cs="Times New Roman"/>
        </w:rPr>
        <w:t>e</w:t>
      </w:r>
      <w:r w:rsidRPr="006B738D">
        <w:rPr>
          <w:rFonts w:ascii="Calibri" w:hAnsi="Calibri" w:cs="Times New Roman"/>
        </w:rPr>
        <w:t xml:space="preserve"> no symptoms usually, unless if insult to the immune system which will activate the development of active disease. </w:t>
      </w:r>
      <w:r w:rsidR="00BF3F78" w:rsidRPr="006B738D">
        <w:rPr>
          <w:rFonts w:ascii="Calibri" w:hAnsi="Calibri" w:cs="Times New Roman"/>
        </w:rPr>
        <w:t xml:space="preserve">Bacteria are inhaled and deposited in the lungs then ingested by macrophages. Granulomas wall off the organisms and they remain dormant within it. </w:t>
      </w:r>
    </w:p>
    <w:p w:rsidR="00BF3F78" w:rsidRPr="006B738D" w:rsidRDefault="00BF3F78" w:rsidP="00BF3F78">
      <w:pPr>
        <w:pStyle w:val="a3"/>
        <w:tabs>
          <w:tab w:val="left" w:pos="993"/>
        </w:tabs>
        <w:ind w:left="0"/>
        <w:rPr>
          <w:rFonts w:ascii="Calibri" w:hAnsi="Calibri" w:cs="Times New Roman"/>
          <w:b/>
          <w:u w:val="single"/>
        </w:rPr>
      </w:pPr>
    </w:p>
    <w:p w:rsidR="00C700A7" w:rsidRPr="006B738D" w:rsidRDefault="00BF3F78" w:rsidP="005E2AC9">
      <w:pPr>
        <w:jc w:val="both"/>
        <w:rPr>
          <w:rFonts w:ascii="Calibri" w:hAnsi="Calibri" w:cs="Times New Roman"/>
          <w:u w:val="single"/>
        </w:rPr>
      </w:pPr>
      <w:r w:rsidRPr="006B738D">
        <w:rPr>
          <w:rFonts w:ascii="Calibri" w:hAnsi="Calibri" w:cs="Times New Roman"/>
        </w:rPr>
        <w:t>Only small percentage of people with primary TB will progress to active disease. It h</w:t>
      </w:r>
      <w:r w:rsidR="00C700A7" w:rsidRPr="006B738D">
        <w:rPr>
          <w:rFonts w:ascii="Calibri" w:hAnsi="Calibri" w:cs="Times New Roman"/>
        </w:rPr>
        <w:t xml:space="preserve">appens when the host’s immunity is compromised or weakened by infections e.g.: HIV or malignancy, malnutrition or usage of immunosuppressant. </w:t>
      </w:r>
      <w:r w:rsidRPr="006B738D">
        <w:rPr>
          <w:rFonts w:ascii="Calibri" w:hAnsi="Calibri" w:cs="Times New Roman"/>
        </w:rPr>
        <w:t>Symptoms include fever, chills, night sweats, weight loss, loss of appetite and malaise. Cough progresses from dry to productive (purulent sputum) . Coughing up blood (hemoptysis) suggests advanced TB.</w:t>
      </w:r>
      <w:r w:rsidR="005E2AC9" w:rsidRPr="006B738D">
        <w:rPr>
          <w:rFonts w:ascii="Calibri" w:hAnsi="Calibri" w:cs="Times New Roman"/>
        </w:rPr>
        <w:t xml:space="preserve">  </w:t>
      </w:r>
      <w:r w:rsidRPr="006B738D">
        <w:rPr>
          <w:rFonts w:ascii="Calibri" w:hAnsi="Calibri" w:cs="Times New Roman"/>
        </w:rPr>
        <w:t>It m</w:t>
      </w:r>
      <w:r w:rsidR="00C700A7" w:rsidRPr="006B738D">
        <w:rPr>
          <w:rFonts w:ascii="Calibri" w:hAnsi="Calibri" w:cs="Times New Roman"/>
        </w:rPr>
        <w:t xml:space="preserve">ay </w:t>
      </w:r>
      <w:r w:rsidRPr="006B738D">
        <w:rPr>
          <w:rFonts w:ascii="Calibri" w:hAnsi="Calibri" w:cs="Times New Roman"/>
        </w:rPr>
        <w:t xml:space="preserve">also </w:t>
      </w:r>
      <w:r w:rsidR="00C700A7" w:rsidRPr="006B738D">
        <w:rPr>
          <w:rFonts w:ascii="Calibri" w:hAnsi="Calibri" w:cs="Times New Roman"/>
        </w:rPr>
        <w:t xml:space="preserve">leads to Miliary TB by hematogenous or lymphatic spread. </w:t>
      </w:r>
      <w:r w:rsidR="00C700A7" w:rsidRPr="006B738D">
        <w:rPr>
          <w:rFonts w:ascii="Calibri" w:hAnsi="Calibri" w:cs="Times New Roman"/>
          <w:u w:val="single"/>
        </w:rPr>
        <w:t xml:space="preserve"> </w:t>
      </w:r>
    </w:p>
    <w:p w:rsidR="00F92901" w:rsidRPr="006B738D" w:rsidRDefault="00F92901" w:rsidP="00BF3F78">
      <w:pPr>
        <w:pStyle w:val="a3"/>
        <w:ind w:left="567"/>
        <w:rPr>
          <w:rFonts w:ascii="Calibri" w:hAnsi="Calibri" w:cs="Times New Roman"/>
        </w:rPr>
      </w:pPr>
    </w:p>
    <w:p w:rsidR="00C700A7" w:rsidRPr="006B738D" w:rsidRDefault="00C700A7" w:rsidP="00C700A7">
      <w:pPr>
        <w:pStyle w:val="a3"/>
        <w:ind w:left="567"/>
        <w:rPr>
          <w:rFonts w:ascii="Calibri" w:hAnsi="Calibri" w:cs="Times New Roman"/>
        </w:rPr>
      </w:pPr>
    </w:p>
    <w:p w:rsidR="00F92901" w:rsidRPr="006B738D" w:rsidRDefault="00F92901" w:rsidP="005E2AC9">
      <w:pPr>
        <w:rPr>
          <w:rFonts w:ascii="Calibri" w:hAnsi="Calibri" w:cs="Times New Roman"/>
          <w:b/>
        </w:rPr>
      </w:pPr>
      <w:r w:rsidRPr="006B738D">
        <w:rPr>
          <w:rFonts w:ascii="Calibri" w:hAnsi="Calibri" w:cs="Times New Roman"/>
          <w:b/>
        </w:rPr>
        <w:t>Epidemiology</w:t>
      </w:r>
    </w:p>
    <w:p w:rsidR="00BF3F78" w:rsidRPr="006B738D" w:rsidRDefault="00BF3F78" w:rsidP="00BF3F78">
      <w:pPr>
        <w:jc w:val="both"/>
        <w:rPr>
          <w:rFonts w:ascii="Calibri" w:hAnsi="Calibri"/>
        </w:rPr>
      </w:pPr>
      <w:r w:rsidRPr="006B738D">
        <w:rPr>
          <w:rFonts w:ascii="Calibri" w:hAnsi="Calibri"/>
        </w:rPr>
        <w:t>Tuberculosis (TB) is second only to HIV/AIDS as the greatest killer worldwide due to a single infectious agent. Tuberculosis mostly affects young adults, in their most productive years. However, all age groups are at risk.</w:t>
      </w:r>
    </w:p>
    <w:p w:rsidR="00BF3F78" w:rsidRPr="006B738D" w:rsidRDefault="00BF3F78" w:rsidP="00F92901">
      <w:pPr>
        <w:rPr>
          <w:rFonts w:ascii="Calibri" w:hAnsi="Calibri" w:cs="Times New Roman"/>
          <w:b/>
        </w:rPr>
      </w:pPr>
    </w:p>
    <w:p w:rsidR="005B2C14" w:rsidRPr="006B738D" w:rsidRDefault="005B2C14" w:rsidP="005B2C14">
      <w:pPr>
        <w:autoSpaceDE w:val="0"/>
        <w:autoSpaceDN w:val="0"/>
        <w:adjustRightInd w:val="0"/>
        <w:rPr>
          <w:rFonts w:ascii="Calibri" w:hAnsi="Calibri" w:cs="Times New Roman"/>
          <w:color w:val="000000"/>
        </w:rPr>
      </w:pPr>
      <w:r w:rsidRPr="006B738D">
        <w:rPr>
          <w:rFonts w:ascii="Calibri" w:hAnsi="Calibri" w:cs="Times New Roman"/>
          <w:color w:val="000000"/>
        </w:rPr>
        <w:t>TB infects about one-third of the world's population. The World Health Organization declared TB a world emergency in 1993 there were almost 8.6 million developed TB and 1.3 million died from the disease in 2012. Its incidence has been increasing by around 1% per year to peak 2005, but since then the global incidence per capita has started to slowly decline. Around 65% of cases are seen in Africa and Asia (India and china).</w:t>
      </w:r>
    </w:p>
    <w:p w:rsidR="00BF3F78" w:rsidRPr="006B738D" w:rsidRDefault="00BF3F78" w:rsidP="005B2C14">
      <w:pPr>
        <w:autoSpaceDE w:val="0"/>
        <w:autoSpaceDN w:val="0"/>
        <w:adjustRightInd w:val="0"/>
        <w:rPr>
          <w:rFonts w:ascii="Calibri" w:hAnsi="Calibri" w:cs="Times New Roman"/>
          <w:color w:val="000000"/>
        </w:rPr>
      </w:pPr>
    </w:p>
    <w:p w:rsidR="005B2C14" w:rsidRPr="006B738D" w:rsidRDefault="005B2C14" w:rsidP="005B2C1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Cs w:val="24"/>
          <w:u w:val="single"/>
        </w:rPr>
      </w:pPr>
    </w:p>
    <w:p w:rsidR="005B2C14" w:rsidRPr="006B738D" w:rsidRDefault="005B2C14" w:rsidP="006D6CA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Cs/>
          <w:szCs w:val="24"/>
          <w:u w:val="single"/>
          <w:rtl/>
        </w:rPr>
      </w:pPr>
      <w:r w:rsidRPr="006B738D">
        <w:rPr>
          <w:rFonts w:ascii="Calibri" w:hAnsi="Calibri"/>
          <w:bCs/>
          <w:szCs w:val="24"/>
          <w:u w:val="single"/>
        </w:rPr>
        <w:t xml:space="preserve">Estimated TB incidence </w:t>
      </w:r>
      <w:r w:rsidR="006D6CA0" w:rsidRPr="006B738D">
        <w:rPr>
          <w:rFonts w:ascii="Calibri" w:hAnsi="Calibri"/>
          <w:bCs/>
          <w:szCs w:val="24"/>
          <w:u w:val="single"/>
        </w:rPr>
        <w:t>and prevalence</w:t>
      </w:r>
    </w:p>
    <w:p w:rsidR="005B2C14" w:rsidRDefault="005B2C14" w:rsidP="006B738D">
      <w:pPr>
        <w:autoSpaceDE w:val="0"/>
        <w:autoSpaceDN w:val="0"/>
        <w:adjustRightInd w:val="0"/>
        <w:rPr>
          <w:rFonts w:ascii="Calibri" w:hAnsi="Calibri" w:cs="Times New Roman"/>
          <w:color w:val="000000"/>
        </w:rPr>
      </w:pPr>
      <w:r w:rsidRPr="006B738D">
        <w:rPr>
          <w:rFonts w:ascii="Calibri" w:hAnsi="Calibri" w:cs="Times New Roman"/>
          <w:color w:val="000000"/>
        </w:rPr>
        <w:t>Most of the estimated number of cases in 2012 occurred in:</w:t>
      </w:r>
      <w:r w:rsidR="006D6CA0" w:rsidRPr="006B738D">
        <w:rPr>
          <w:rFonts w:ascii="Calibri" w:hAnsi="Calibri" w:cs="Times New Roman"/>
          <w:color w:val="000000"/>
        </w:rPr>
        <w:t xml:space="preserve"> </w:t>
      </w:r>
      <w:r w:rsidRPr="006B738D">
        <w:rPr>
          <w:rFonts w:ascii="Calibri" w:hAnsi="Calibri" w:cs="Times New Roman"/>
          <w:color w:val="000000"/>
        </w:rPr>
        <w:t>Asia (58%)</w:t>
      </w:r>
      <w:r w:rsidR="006D6CA0" w:rsidRPr="006B738D">
        <w:rPr>
          <w:rFonts w:ascii="Calibri" w:hAnsi="Calibri" w:cs="Times New Roman"/>
          <w:color w:val="000000"/>
        </w:rPr>
        <w:t xml:space="preserve">, </w:t>
      </w:r>
      <w:r w:rsidRPr="006B738D">
        <w:rPr>
          <w:rFonts w:ascii="Calibri" w:hAnsi="Calibri" w:cs="Times New Roman"/>
          <w:color w:val="000000"/>
        </w:rPr>
        <w:t>African Region (27%)</w:t>
      </w:r>
      <w:r w:rsidR="006D6CA0" w:rsidRPr="006B738D">
        <w:rPr>
          <w:rFonts w:ascii="Calibri" w:hAnsi="Calibri" w:cs="Times New Roman"/>
          <w:color w:val="000000"/>
        </w:rPr>
        <w:t xml:space="preserve">, </w:t>
      </w:r>
      <w:r w:rsidRPr="006B738D">
        <w:rPr>
          <w:rFonts w:ascii="Calibri" w:hAnsi="Calibri" w:cs="Times New Roman"/>
          <w:color w:val="000000"/>
        </w:rPr>
        <w:t>Eastern Mediterranean Region (8</w:t>
      </w:r>
      <w:r w:rsidR="006D6CA0" w:rsidRPr="006B738D">
        <w:rPr>
          <w:rFonts w:ascii="Calibri" w:hAnsi="Calibri" w:cs="Times New Roman"/>
          <w:color w:val="000000"/>
        </w:rPr>
        <w:t xml:space="preserve">), </w:t>
      </w:r>
      <w:r w:rsidRPr="006B738D">
        <w:rPr>
          <w:rFonts w:ascii="Calibri" w:hAnsi="Calibri" w:cs="Times New Roman"/>
          <w:color w:val="000000"/>
        </w:rPr>
        <w:t xml:space="preserve">European Region (4%) </w:t>
      </w:r>
      <w:r w:rsidR="006D6CA0" w:rsidRPr="006B738D">
        <w:rPr>
          <w:rFonts w:ascii="Calibri" w:hAnsi="Calibri" w:cs="Times New Roman"/>
          <w:color w:val="000000"/>
        </w:rPr>
        <w:t xml:space="preserve">, </w:t>
      </w:r>
      <w:r w:rsidRPr="006B738D">
        <w:rPr>
          <w:rFonts w:ascii="Calibri" w:hAnsi="Calibri" w:cs="Times New Roman"/>
          <w:color w:val="000000"/>
        </w:rPr>
        <w:t>Americas (3%)</w:t>
      </w:r>
      <w:r w:rsidR="006D6CA0" w:rsidRPr="006B738D">
        <w:rPr>
          <w:rFonts w:ascii="Calibri" w:hAnsi="Calibri" w:cs="Times New Roman"/>
          <w:color w:val="000000"/>
        </w:rPr>
        <w:t>. The following table provides information on incidence and prevalence across various regions</w:t>
      </w:r>
    </w:p>
    <w:p w:rsidR="006B738D" w:rsidRPr="006B738D" w:rsidRDefault="006B738D" w:rsidP="006B738D">
      <w:pPr>
        <w:autoSpaceDE w:val="0"/>
        <w:autoSpaceDN w:val="0"/>
        <w:adjustRightInd w:val="0"/>
        <w:rPr>
          <w:rFonts w:ascii="Calibri" w:hAnsi="Calibri" w:cs="Adobe نسخ Medium"/>
          <w:color w:val="000000"/>
          <w:u w:val="dotDash"/>
        </w:rPr>
      </w:pPr>
    </w:p>
    <w:tbl>
      <w:tblPr>
        <w:tblpPr w:leftFromText="180" w:rightFromText="180" w:vertAnchor="text" w:horzAnchor="margin" w:tblpXSpec="center" w:tblpY="244"/>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3"/>
        <w:gridCol w:w="1929"/>
        <w:gridCol w:w="2436"/>
        <w:gridCol w:w="1625"/>
        <w:gridCol w:w="1625"/>
      </w:tblGrid>
      <w:tr w:rsidR="005B2C14" w:rsidRPr="006B738D" w:rsidTr="00975628">
        <w:trPr>
          <w:trHeight w:val="511"/>
        </w:trPr>
        <w:tc>
          <w:tcPr>
            <w:tcW w:w="1973" w:type="dxa"/>
            <w:tcBorders>
              <w:top w:val="triple" w:sz="4" w:space="0" w:color="00B050"/>
              <w:left w:val="triple" w:sz="4" w:space="0" w:color="00B050"/>
              <w:bottom w:val="single" w:sz="4" w:space="0" w:color="00B050"/>
              <w:right w:val="single" w:sz="4" w:space="0" w:color="00B050"/>
            </w:tcBorders>
            <w:shd w:val="clear" w:color="auto" w:fill="D6E3BC"/>
          </w:tcPr>
          <w:p w:rsidR="005B2C14" w:rsidRPr="006B738D" w:rsidRDefault="005B2C14" w:rsidP="00975628">
            <w:pPr>
              <w:ind w:left="-142" w:firstLine="142"/>
              <w:jc w:val="center"/>
              <w:rPr>
                <w:rFonts w:ascii="Calibri" w:eastAsia="Cambria" w:hAnsi="Calibri" w:cs="VialogLTCom-Light"/>
              </w:rPr>
            </w:pPr>
            <w:r w:rsidRPr="006B738D">
              <w:rPr>
                <w:rFonts w:ascii="Calibri" w:eastAsia="Cambria" w:hAnsi="Calibri"/>
                <w:b/>
                <w:bCs/>
              </w:rPr>
              <w:t>Region</w:t>
            </w:r>
          </w:p>
        </w:tc>
        <w:tc>
          <w:tcPr>
            <w:tcW w:w="1929" w:type="dxa"/>
            <w:tcBorders>
              <w:top w:val="triple" w:sz="4" w:space="0" w:color="00B050"/>
              <w:left w:val="single" w:sz="4" w:space="0" w:color="00B050"/>
              <w:bottom w:val="single" w:sz="4" w:space="0" w:color="00B050"/>
            </w:tcBorders>
            <w:shd w:val="clear" w:color="auto" w:fill="D6E3BC"/>
          </w:tcPr>
          <w:p w:rsidR="005B2C14" w:rsidRPr="006B738D" w:rsidRDefault="005B2C14" w:rsidP="00975628">
            <w:pPr>
              <w:jc w:val="center"/>
              <w:rPr>
                <w:rFonts w:ascii="Calibri" w:eastAsia="Cambria" w:hAnsi="Calibri"/>
                <w:b/>
                <w:bCs/>
              </w:rPr>
            </w:pPr>
            <w:r w:rsidRPr="006B738D">
              <w:rPr>
                <w:rFonts w:ascii="Calibri" w:eastAsia="Cambria" w:hAnsi="Calibri"/>
                <w:b/>
                <w:bCs/>
              </w:rPr>
              <w:t>Number of prevalent tuberculosis cases</w:t>
            </w:r>
          </w:p>
        </w:tc>
        <w:tc>
          <w:tcPr>
            <w:tcW w:w="2436" w:type="dxa"/>
            <w:tcBorders>
              <w:top w:val="triple" w:sz="4" w:space="0" w:color="00B050"/>
              <w:bottom w:val="single" w:sz="4" w:space="0" w:color="00B050"/>
            </w:tcBorders>
            <w:shd w:val="clear" w:color="auto" w:fill="D6E3BC"/>
          </w:tcPr>
          <w:p w:rsidR="005B2C14" w:rsidRPr="006B738D" w:rsidRDefault="005B2C14" w:rsidP="00975628">
            <w:pPr>
              <w:jc w:val="center"/>
              <w:rPr>
                <w:rFonts w:ascii="Calibri" w:eastAsia="Cambria" w:hAnsi="Calibri"/>
                <w:b/>
                <w:bCs/>
              </w:rPr>
            </w:pPr>
            <w:r w:rsidRPr="006B738D">
              <w:rPr>
                <w:rFonts w:ascii="Calibri" w:eastAsia="Cambria" w:hAnsi="Calibri"/>
                <w:b/>
                <w:bCs/>
              </w:rPr>
              <w:t>Prevalence of tuberculosis</w:t>
            </w:r>
          </w:p>
          <w:p w:rsidR="005B2C14" w:rsidRPr="006B738D" w:rsidRDefault="005B2C14" w:rsidP="00975628">
            <w:pPr>
              <w:jc w:val="center"/>
              <w:rPr>
                <w:rFonts w:ascii="Calibri" w:eastAsia="Cambria" w:hAnsi="Calibri"/>
                <w:b/>
                <w:bCs/>
              </w:rPr>
            </w:pPr>
            <w:r w:rsidRPr="006B738D">
              <w:rPr>
                <w:rFonts w:ascii="Calibri" w:eastAsia="Cambria" w:hAnsi="Calibri"/>
                <w:b/>
                <w:bCs/>
              </w:rPr>
              <w:t>(per 100 000 population)</w:t>
            </w:r>
          </w:p>
        </w:tc>
        <w:tc>
          <w:tcPr>
            <w:tcW w:w="1625" w:type="dxa"/>
            <w:tcBorders>
              <w:top w:val="triple" w:sz="4" w:space="0" w:color="00B050"/>
              <w:bottom w:val="single" w:sz="4" w:space="0" w:color="00B050"/>
            </w:tcBorders>
            <w:shd w:val="clear" w:color="auto" w:fill="D6E3BC"/>
          </w:tcPr>
          <w:p w:rsidR="005B2C14" w:rsidRPr="006B738D" w:rsidRDefault="005B2C14" w:rsidP="00975628">
            <w:pPr>
              <w:jc w:val="center"/>
              <w:rPr>
                <w:rFonts w:ascii="Calibri" w:eastAsia="Cambria" w:hAnsi="Calibri"/>
                <w:b/>
                <w:bCs/>
              </w:rPr>
            </w:pPr>
            <w:r w:rsidRPr="006B738D">
              <w:rPr>
                <w:rFonts w:ascii="Calibri" w:eastAsia="Cambria" w:hAnsi="Calibri"/>
                <w:b/>
                <w:bCs/>
              </w:rPr>
              <w:t>Incidence</w:t>
            </w:r>
          </w:p>
          <w:p w:rsidR="005B2C14" w:rsidRPr="006B738D" w:rsidRDefault="005B2C14" w:rsidP="00975628">
            <w:pPr>
              <w:jc w:val="center"/>
              <w:rPr>
                <w:rFonts w:ascii="Calibri" w:eastAsia="Cambria" w:hAnsi="Calibri"/>
                <w:b/>
                <w:bCs/>
              </w:rPr>
            </w:pPr>
            <w:r w:rsidRPr="006B738D">
              <w:rPr>
                <w:rFonts w:ascii="Calibri" w:eastAsia="Cambria" w:hAnsi="Calibri"/>
                <w:b/>
                <w:bCs/>
              </w:rPr>
              <w:t>(per 100 000 population)</w:t>
            </w:r>
          </w:p>
        </w:tc>
        <w:tc>
          <w:tcPr>
            <w:tcW w:w="1625" w:type="dxa"/>
            <w:tcBorders>
              <w:top w:val="triple" w:sz="4" w:space="0" w:color="00B050"/>
              <w:bottom w:val="single" w:sz="4" w:space="0" w:color="00B050"/>
              <w:right w:val="single" w:sz="4" w:space="0" w:color="00B050"/>
            </w:tcBorders>
            <w:shd w:val="clear" w:color="auto" w:fill="D6E3BC"/>
          </w:tcPr>
          <w:p w:rsidR="005B2C14" w:rsidRPr="006B738D" w:rsidRDefault="005B2C14" w:rsidP="00975628">
            <w:pPr>
              <w:jc w:val="center"/>
              <w:rPr>
                <w:rFonts w:ascii="Calibri" w:eastAsia="Cambria" w:hAnsi="Calibri"/>
                <w:b/>
                <w:bCs/>
              </w:rPr>
            </w:pPr>
            <w:r w:rsidRPr="006B738D">
              <w:rPr>
                <w:rFonts w:ascii="Calibri" w:eastAsia="Cambria" w:hAnsi="Calibri"/>
                <w:b/>
                <w:bCs/>
              </w:rPr>
              <w:t>Number of deaths excluding HIV</w:t>
            </w:r>
          </w:p>
        </w:tc>
      </w:tr>
      <w:tr w:rsidR="005B2C14" w:rsidRPr="006B738D" w:rsidTr="00975628">
        <w:trPr>
          <w:trHeight w:val="256"/>
        </w:trPr>
        <w:tc>
          <w:tcPr>
            <w:tcW w:w="1973" w:type="dxa"/>
            <w:tcBorders>
              <w:top w:val="single" w:sz="4" w:space="0" w:color="00B050"/>
              <w:left w:val="triple" w:sz="4" w:space="0" w:color="00B050"/>
            </w:tcBorders>
            <w:shd w:val="clear" w:color="auto" w:fill="D6E3BC"/>
          </w:tcPr>
          <w:p w:rsidR="005B2C14" w:rsidRPr="006B738D" w:rsidRDefault="005B2C14" w:rsidP="00975628">
            <w:pPr>
              <w:jc w:val="center"/>
              <w:rPr>
                <w:rFonts w:ascii="Calibri" w:eastAsia="Cambria" w:hAnsi="Calibri"/>
              </w:rPr>
            </w:pPr>
            <w:r w:rsidRPr="006B738D">
              <w:rPr>
                <w:rFonts w:ascii="Calibri" w:eastAsia="Times New Roman" w:hAnsi="Calibri" w:cs="Times New Roman"/>
                <w:b/>
                <w:bCs/>
              </w:rPr>
              <w:t>Africa</w:t>
            </w:r>
          </w:p>
        </w:tc>
        <w:tc>
          <w:tcPr>
            <w:tcW w:w="1929" w:type="dxa"/>
            <w:tcBorders>
              <w:top w:val="single" w:sz="4" w:space="0" w:color="00B050"/>
            </w:tcBorders>
          </w:tcPr>
          <w:p w:rsidR="005B2C14" w:rsidRPr="006B738D" w:rsidRDefault="005B2C14" w:rsidP="00975628">
            <w:pPr>
              <w:jc w:val="center"/>
              <w:rPr>
                <w:rFonts w:ascii="Calibri" w:eastAsia="Times New Roman" w:hAnsi="Calibri" w:cs="Times New Roman"/>
              </w:rPr>
            </w:pPr>
            <w:r w:rsidRPr="006B738D">
              <w:rPr>
                <w:rFonts w:ascii="Calibri" w:eastAsia="Times New Roman" w:hAnsi="Calibri" w:cs="Times New Roman"/>
              </w:rPr>
              <w:t>2500000</w:t>
            </w:r>
          </w:p>
        </w:tc>
        <w:tc>
          <w:tcPr>
            <w:tcW w:w="2436" w:type="dxa"/>
            <w:tcBorders>
              <w:top w:val="single" w:sz="4" w:space="0" w:color="00B050"/>
            </w:tcBorders>
          </w:tcPr>
          <w:p w:rsidR="005B2C14" w:rsidRPr="006B738D" w:rsidRDefault="005B2C14" w:rsidP="00975628">
            <w:pPr>
              <w:jc w:val="center"/>
              <w:rPr>
                <w:rFonts w:ascii="Calibri" w:eastAsia="Cambria" w:hAnsi="Calibri"/>
              </w:rPr>
            </w:pPr>
            <w:r w:rsidRPr="006B738D">
              <w:rPr>
                <w:rFonts w:ascii="Calibri" w:eastAsia="Times New Roman" w:hAnsi="Calibri" w:cs="Times New Roman"/>
              </w:rPr>
              <w:t>293</w:t>
            </w:r>
          </w:p>
        </w:tc>
        <w:tc>
          <w:tcPr>
            <w:tcW w:w="1625" w:type="dxa"/>
            <w:tcBorders>
              <w:top w:val="single" w:sz="4" w:space="0" w:color="00B050"/>
            </w:tcBorders>
          </w:tcPr>
          <w:p w:rsidR="005B2C14" w:rsidRPr="006B738D" w:rsidRDefault="005B2C14" w:rsidP="00975628">
            <w:pPr>
              <w:jc w:val="center"/>
              <w:rPr>
                <w:rFonts w:ascii="Calibri" w:eastAsia="Cambria" w:hAnsi="Calibri"/>
              </w:rPr>
            </w:pPr>
            <w:r w:rsidRPr="006B738D">
              <w:rPr>
                <w:rFonts w:ascii="Calibri" w:eastAsia="Times New Roman" w:hAnsi="Calibri" w:cs="Times New Roman"/>
              </w:rPr>
              <w:t>262</w:t>
            </w:r>
          </w:p>
        </w:tc>
        <w:tc>
          <w:tcPr>
            <w:tcW w:w="1625" w:type="dxa"/>
            <w:tcBorders>
              <w:top w:val="single" w:sz="4" w:space="0" w:color="00B050"/>
              <w:right w:val="single" w:sz="4" w:space="0" w:color="00B050"/>
            </w:tcBorders>
          </w:tcPr>
          <w:p w:rsidR="005B2C14" w:rsidRPr="006B738D" w:rsidRDefault="005B2C14" w:rsidP="00975628">
            <w:pPr>
              <w:jc w:val="center"/>
              <w:rPr>
                <w:rFonts w:ascii="Calibri" w:eastAsia="Cambria" w:hAnsi="Calibri"/>
              </w:rPr>
            </w:pPr>
            <w:r w:rsidRPr="006B738D">
              <w:rPr>
                <w:rFonts w:ascii="Calibri" w:eastAsia="Times New Roman" w:hAnsi="Calibri" w:cs="Times New Roman"/>
              </w:rPr>
              <w:t>220000</w:t>
            </w:r>
          </w:p>
        </w:tc>
      </w:tr>
      <w:tr w:rsidR="005B2C14" w:rsidRPr="006B738D" w:rsidTr="00975628">
        <w:trPr>
          <w:trHeight w:val="244"/>
        </w:trPr>
        <w:tc>
          <w:tcPr>
            <w:tcW w:w="1973" w:type="dxa"/>
            <w:tcBorders>
              <w:left w:val="triple" w:sz="4" w:space="0" w:color="00B050"/>
            </w:tcBorders>
            <w:shd w:val="clear" w:color="auto" w:fill="D6E3BC"/>
          </w:tcPr>
          <w:p w:rsidR="005B2C14" w:rsidRPr="006B738D" w:rsidRDefault="005B2C14" w:rsidP="00975628">
            <w:pPr>
              <w:jc w:val="center"/>
              <w:rPr>
                <w:rFonts w:ascii="Calibri" w:eastAsia="Cambria" w:hAnsi="Calibri"/>
              </w:rPr>
            </w:pPr>
            <w:r w:rsidRPr="006B738D">
              <w:rPr>
                <w:rFonts w:ascii="Calibri" w:eastAsia="Times New Roman" w:hAnsi="Calibri" w:cs="Times New Roman"/>
                <w:b/>
                <w:bCs/>
              </w:rPr>
              <w:t>Americas</w:t>
            </w:r>
          </w:p>
        </w:tc>
        <w:tc>
          <w:tcPr>
            <w:tcW w:w="1929" w:type="dxa"/>
          </w:tcPr>
          <w:p w:rsidR="005B2C14" w:rsidRPr="006B738D" w:rsidRDefault="005B2C14" w:rsidP="00975628">
            <w:pPr>
              <w:jc w:val="center"/>
              <w:rPr>
                <w:rFonts w:ascii="Calibri" w:eastAsia="Times New Roman" w:hAnsi="Calibri" w:cs="Times New Roman"/>
              </w:rPr>
            </w:pPr>
            <w:r w:rsidRPr="006B738D">
              <w:rPr>
                <w:rFonts w:ascii="Calibri" w:eastAsia="Times New Roman" w:hAnsi="Calibri" w:cs="Times New Roman"/>
              </w:rPr>
              <w:t>330000</w:t>
            </w:r>
          </w:p>
        </w:tc>
        <w:tc>
          <w:tcPr>
            <w:tcW w:w="2436" w:type="dxa"/>
          </w:tcPr>
          <w:p w:rsidR="005B2C14" w:rsidRPr="006B738D" w:rsidRDefault="005B2C14" w:rsidP="00975628">
            <w:pPr>
              <w:jc w:val="center"/>
              <w:rPr>
                <w:rFonts w:ascii="Calibri" w:eastAsia="Cambria" w:hAnsi="Calibri"/>
              </w:rPr>
            </w:pPr>
            <w:r w:rsidRPr="006B738D">
              <w:rPr>
                <w:rFonts w:ascii="Calibri" w:eastAsia="Times New Roman" w:hAnsi="Calibri" w:cs="Times New Roman"/>
              </w:rPr>
              <w:t>35</w:t>
            </w:r>
          </w:p>
        </w:tc>
        <w:tc>
          <w:tcPr>
            <w:tcW w:w="1625" w:type="dxa"/>
          </w:tcPr>
          <w:p w:rsidR="005B2C14" w:rsidRPr="006B738D" w:rsidRDefault="005B2C14" w:rsidP="00975628">
            <w:pPr>
              <w:jc w:val="center"/>
              <w:rPr>
                <w:rFonts w:ascii="Calibri" w:eastAsia="Cambria" w:hAnsi="Calibri"/>
              </w:rPr>
            </w:pPr>
            <w:r w:rsidRPr="006B738D">
              <w:rPr>
                <w:rFonts w:ascii="Calibri" w:eastAsia="Times New Roman" w:hAnsi="Calibri" w:cs="Times New Roman"/>
              </w:rPr>
              <w:t>28</w:t>
            </w:r>
          </w:p>
        </w:tc>
        <w:tc>
          <w:tcPr>
            <w:tcW w:w="1625" w:type="dxa"/>
            <w:tcBorders>
              <w:right w:val="single" w:sz="4" w:space="0" w:color="00B050"/>
            </w:tcBorders>
          </w:tcPr>
          <w:p w:rsidR="005B2C14" w:rsidRPr="006B738D" w:rsidRDefault="005B2C14" w:rsidP="00975628">
            <w:pPr>
              <w:jc w:val="center"/>
              <w:rPr>
                <w:rFonts w:ascii="Calibri" w:eastAsia="Cambria" w:hAnsi="Calibri"/>
              </w:rPr>
            </w:pPr>
            <w:r w:rsidRPr="006B738D">
              <w:rPr>
                <w:rFonts w:ascii="Calibri" w:eastAsia="Times New Roman" w:hAnsi="Calibri" w:cs="Times New Roman"/>
              </w:rPr>
              <w:t>21000</w:t>
            </w:r>
          </w:p>
        </w:tc>
      </w:tr>
      <w:tr w:rsidR="005B2C14" w:rsidRPr="006B738D" w:rsidTr="00975628">
        <w:trPr>
          <w:trHeight w:val="256"/>
        </w:trPr>
        <w:tc>
          <w:tcPr>
            <w:tcW w:w="1973" w:type="dxa"/>
            <w:tcBorders>
              <w:left w:val="triple" w:sz="4" w:space="0" w:color="00B050"/>
            </w:tcBorders>
            <w:shd w:val="clear" w:color="auto" w:fill="D6E3BC"/>
          </w:tcPr>
          <w:p w:rsidR="005B2C14" w:rsidRPr="006B738D" w:rsidRDefault="005B2C14" w:rsidP="00975628">
            <w:pPr>
              <w:jc w:val="center"/>
              <w:rPr>
                <w:rFonts w:ascii="Calibri" w:eastAsia="Cambria" w:hAnsi="Calibri"/>
              </w:rPr>
            </w:pPr>
            <w:r w:rsidRPr="006B738D">
              <w:rPr>
                <w:rFonts w:ascii="Calibri" w:eastAsia="Times New Roman" w:hAnsi="Calibri" w:cs="Times New Roman"/>
                <w:b/>
                <w:bCs/>
              </w:rPr>
              <w:t>South-East Asia</w:t>
            </w:r>
          </w:p>
        </w:tc>
        <w:tc>
          <w:tcPr>
            <w:tcW w:w="1929" w:type="dxa"/>
          </w:tcPr>
          <w:p w:rsidR="005B2C14" w:rsidRPr="006B738D" w:rsidRDefault="005B2C14" w:rsidP="00975628">
            <w:pPr>
              <w:jc w:val="center"/>
              <w:rPr>
                <w:rFonts w:ascii="Calibri" w:eastAsia="Times New Roman" w:hAnsi="Calibri" w:cs="Times New Roman"/>
              </w:rPr>
            </w:pPr>
            <w:r w:rsidRPr="006B738D">
              <w:rPr>
                <w:rFonts w:ascii="Calibri" w:eastAsia="Times New Roman" w:hAnsi="Calibri" w:cs="Times New Roman"/>
              </w:rPr>
              <w:t>5000000</w:t>
            </w:r>
          </w:p>
        </w:tc>
        <w:tc>
          <w:tcPr>
            <w:tcW w:w="2436" w:type="dxa"/>
          </w:tcPr>
          <w:p w:rsidR="005B2C14" w:rsidRPr="006B738D" w:rsidRDefault="005B2C14" w:rsidP="00975628">
            <w:pPr>
              <w:jc w:val="center"/>
              <w:rPr>
                <w:rFonts w:ascii="Calibri" w:eastAsia="Cambria" w:hAnsi="Calibri"/>
              </w:rPr>
            </w:pPr>
            <w:r w:rsidRPr="006B738D">
              <w:rPr>
                <w:rFonts w:ascii="Calibri" w:eastAsia="Times New Roman" w:hAnsi="Calibri" w:cs="Times New Roman"/>
              </w:rPr>
              <w:t>271</w:t>
            </w:r>
          </w:p>
        </w:tc>
        <w:tc>
          <w:tcPr>
            <w:tcW w:w="1625" w:type="dxa"/>
          </w:tcPr>
          <w:p w:rsidR="005B2C14" w:rsidRPr="006B738D" w:rsidRDefault="005B2C14" w:rsidP="00975628">
            <w:pPr>
              <w:jc w:val="center"/>
              <w:rPr>
                <w:rFonts w:ascii="Calibri" w:eastAsia="Cambria" w:hAnsi="Calibri"/>
              </w:rPr>
            </w:pPr>
            <w:r w:rsidRPr="006B738D">
              <w:rPr>
                <w:rFonts w:ascii="Calibri" w:eastAsia="Times New Roman" w:hAnsi="Calibri" w:cs="Times New Roman"/>
              </w:rPr>
              <w:t>189</w:t>
            </w:r>
          </w:p>
        </w:tc>
        <w:tc>
          <w:tcPr>
            <w:tcW w:w="1625" w:type="dxa"/>
            <w:tcBorders>
              <w:right w:val="single" w:sz="4" w:space="0" w:color="00B050"/>
            </w:tcBorders>
          </w:tcPr>
          <w:p w:rsidR="005B2C14" w:rsidRPr="006B738D" w:rsidRDefault="005B2C14" w:rsidP="00975628">
            <w:pPr>
              <w:jc w:val="center"/>
              <w:rPr>
                <w:rFonts w:ascii="Calibri" w:eastAsia="Cambria" w:hAnsi="Calibri"/>
              </w:rPr>
            </w:pPr>
            <w:r w:rsidRPr="006B738D">
              <w:rPr>
                <w:rFonts w:ascii="Calibri" w:eastAsia="Times New Roman" w:hAnsi="Calibri" w:cs="Times New Roman"/>
              </w:rPr>
              <w:t>480000</w:t>
            </w:r>
          </w:p>
        </w:tc>
      </w:tr>
      <w:tr w:rsidR="005B2C14" w:rsidRPr="006B738D" w:rsidTr="00975628">
        <w:trPr>
          <w:trHeight w:val="244"/>
        </w:trPr>
        <w:tc>
          <w:tcPr>
            <w:tcW w:w="1973" w:type="dxa"/>
            <w:tcBorders>
              <w:left w:val="triple" w:sz="4" w:space="0" w:color="00B050"/>
            </w:tcBorders>
            <w:shd w:val="clear" w:color="auto" w:fill="D6E3BC"/>
          </w:tcPr>
          <w:p w:rsidR="005B2C14" w:rsidRPr="006B738D" w:rsidRDefault="005B2C14" w:rsidP="00975628">
            <w:pPr>
              <w:jc w:val="center"/>
              <w:rPr>
                <w:rFonts w:ascii="Calibri" w:eastAsia="Cambria" w:hAnsi="Calibri"/>
              </w:rPr>
            </w:pPr>
            <w:r w:rsidRPr="006B738D">
              <w:rPr>
                <w:rFonts w:ascii="Calibri" w:eastAsia="Times New Roman" w:hAnsi="Calibri" w:cs="Times New Roman"/>
                <w:b/>
                <w:bCs/>
              </w:rPr>
              <w:t>Europe</w:t>
            </w:r>
          </w:p>
        </w:tc>
        <w:tc>
          <w:tcPr>
            <w:tcW w:w="1929" w:type="dxa"/>
          </w:tcPr>
          <w:p w:rsidR="005B2C14" w:rsidRPr="006B738D" w:rsidRDefault="005B2C14" w:rsidP="00975628">
            <w:pPr>
              <w:jc w:val="center"/>
              <w:rPr>
                <w:rFonts w:ascii="Calibri" w:eastAsia="Times New Roman" w:hAnsi="Calibri" w:cs="Times New Roman"/>
              </w:rPr>
            </w:pPr>
            <w:r w:rsidRPr="006B738D">
              <w:rPr>
                <w:rFonts w:ascii="Calibri" w:eastAsia="Times New Roman" w:hAnsi="Calibri" w:cs="Times New Roman"/>
              </w:rPr>
              <w:t>500000</w:t>
            </w:r>
          </w:p>
        </w:tc>
        <w:tc>
          <w:tcPr>
            <w:tcW w:w="2436" w:type="dxa"/>
          </w:tcPr>
          <w:p w:rsidR="005B2C14" w:rsidRPr="006B738D" w:rsidRDefault="005B2C14" w:rsidP="00975628">
            <w:pPr>
              <w:jc w:val="center"/>
              <w:rPr>
                <w:rFonts w:ascii="Calibri" w:eastAsia="Cambria" w:hAnsi="Calibri"/>
              </w:rPr>
            </w:pPr>
            <w:r w:rsidRPr="006B738D">
              <w:rPr>
                <w:rFonts w:ascii="Calibri" w:eastAsia="Times New Roman" w:hAnsi="Calibri" w:cs="Times New Roman"/>
              </w:rPr>
              <w:t>56</w:t>
            </w:r>
          </w:p>
        </w:tc>
        <w:tc>
          <w:tcPr>
            <w:tcW w:w="1625" w:type="dxa"/>
          </w:tcPr>
          <w:p w:rsidR="005B2C14" w:rsidRPr="006B738D" w:rsidRDefault="005B2C14" w:rsidP="00975628">
            <w:pPr>
              <w:jc w:val="center"/>
              <w:rPr>
                <w:rFonts w:ascii="Calibri" w:eastAsia="Cambria" w:hAnsi="Calibri"/>
              </w:rPr>
            </w:pPr>
            <w:r w:rsidRPr="006B738D">
              <w:rPr>
                <w:rFonts w:ascii="Calibri" w:eastAsia="Times New Roman" w:hAnsi="Calibri" w:cs="Times New Roman"/>
              </w:rPr>
              <w:t>42</w:t>
            </w:r>
          </w:p>
        </w:tc>
        <w:tc>
          <w:tcPr>
            <w:tcW w:w="1625" w:type="dxa"/>
            <w:tcBorders>
              <w:right w:val="single" w:sz="4" w:space="0" w:color="00B050"/>
            </w:tcBorders>
          </w:tcPr>
          <w:p w:rsidR="005B2C14" w:rsidRPr="006B738D" w:rsidRDefault="005B2C14" w:rsidP="00975628">
            <w:pPr>
              <w:jc w:val="center"/>
              <w:rPr>
                <w:rFonts w:ascii="Calibri" w:eastAsia="Cambria" w:hAnsi="Calibri"/>
              </w:rPr>
            </w:pPr>
            <w:r w:rsidRPr="006B738D">
              <w:rPr>
                <w:rFonts w:ascii="Calibri" w:eastAsia="Times New Roman" w:hAnsi="Calibri" w:cs="Times New Roman"/>
              </w:rPr>
              <w:t>45000</w:t>
            </w:r>
          </w:p>
        </w:tc>
      </w:tr>
      <w:tr w:rsidR="005B2C14" w:rsidRPr="006B738D" w:rsidTr="00975628">
        <w:trPr>
          <w:trHeight w:val="256"/>
        </w:trPr>
        <w:tc>
          <w:tcPr>
            <w:tcW w:w="1973" w:type="dxa"/>
            <w:tcBorders>
              <w:left w:val="triple" w:sz="4" w:space="0" w:color="00B050"/>
            </w:tcBorders>
            <w:shd w:val="clear" w:color="auto" w:fill="D6E3BC"/>
          </w:tcPr>
          <w:p w:rsidR="005B2C14" w:rsidRPr="006B738D" w:rsidRDefault="005B2C14" w:rsidP="00975628">
            <w:pPr>
              <w:jc w:val="center"/>
              <w:rPr>
                <w:rFonts w:ascii="Calibri" w:eastAsia="Cambria" w:hAnsi="Calibri"/>
              </w:rPr>
            </w:pPr>
            <w:r w:rsidRPr="006B738D">
              <w:rPr>
                <w:rFonts w:ascii="Calibri" w:eastAsia="Times New Roman" w:hAnsi="Calibri" w:cs="Times New Roman"/>
                <w:b/>
                <w:bCs/>
              </w:rPr>
              <w:t>Eastern Mediterranean</w:t>
            </w:r>
          </w:p>
        </w:tc>
        <w:tc>
          <w:tcPr>
            <w:tcW w:w="1929" w:type="dxa"/>
          </w:tcPr>
          <w:p w:rsidR="005B2C14" w:rsidRPr="006B738D" w:rsidRDefault="005B2C14" w:rsidP="00975628">
            <w:pPr>
              <w:jc w:val="center"/>
              <w:rPr>
                <w:rFonts w:ascii="Calibri" w:eastAsia="Times New Roman" w:hAnsi="Calibri" w:cs="Times New Roman"/>
              </w:rPr>
            </w:pPr>
            <w:r w:rsidRPr="006B738D">
              <w:rPr>
                <w:rFonts w:ascii="Calibri" w:eastAsia="Times New Roman" w:hAnsi="Calibri" w:cs="Times New Roman"/>
              </w:rPr>
              <w:t>1000000</w:t>
            </w:r>
          </w:p>
        </w:tc>
        <w:tc>
          <w:tcPr>
            <w:tcW w:w="2436" w:type="dxa"/>
          </w:tcPr>
          <w:p w:rsidR="005B2C14" w:rsidRPr="006B738D" w:rsidRDefault="005B2C14" w:rsidP="00975628">
            <w:pPr>
              <w:jc w:val="center"/>
              <w:rPr>
                <w:rFonts w:ascii="Calibri" w:eastAsia="Cambria" w:hAnsi="Calibri"/>
              </w:rPr>
            </w:pPr>
            <w:r w:rsidRPr="006B738D">
              <w:rPr>
                <w:rFonts w:ascii="Calibri" w:eastAsia="Times New Roman" w:hAnsi="Calibri" w:cs="Times New Roman"/>
              </w:rPr>
              <w:t>170</w:t>
            </w:r>
          </w:p>
        </w:tc>
        <w:tc>
          <w:tcPr>
            <w:tcW w:w="1625" w:type="dxa"/>
          </w:tcPr>
          <w:p w:rsidR="005B2C14" w:rsidRPr="006B738D" w:rsidRDefault="005B2C14" w:rsidP="00975628">
            <w:pPr>
              <w:jc w:val="center"/>
              <w:rPr>
                <w:rFonts w:ascii="Calibri" w:eastAsia="Cambria" w:hAnsi="Calibri"/>
              </w:rPr>
            </w:pPr>
            <w:r w:rsidRPr="006B738D">
              <w:rPr>
                <w:rFonts w:ascii="Calibri" w:eastAsia="Times New Roman" w:hAnsi="Calibri" w:cs="Times New Roman"/>
              </w:rPr>
              <w:t>109</w:t>
            </w:r>
          </w:p>
        </w:tc>
        <w:tc>
          <w:tcPr>
            <w:tcW w:w="1625" w:type="dxa"/>
            <w:tcBorders>
              <w:right w:val="single" w:sz="4" w:space="0" w:color="00B050"/>
            </w:tcBorders>
          </w:tcPr>
          <w:p w:rsidR="005B2C14" w:rsidRPr="006B738D" w:rsidRDefault="005B2C14" w:rsidP="00975628">
            <w:pPr>
              <w:jc w:val="center"/>
              <w:rPr>
                <w:rFonts w:ascii="Calibri" w:eastAsia="Cambria" w:hAnsi="Calibri"/>
              </w:rPr>
            </w:pPr>
            <w:r w:rsidRPr="006B738D">
              <w:rPr>
                <w:rFonts w:ascii="Calibri" w:eastAsia="Times New Roman" w:hAnsi="Calibri" w:cs="Times New Roman"/>
              </w:rPr>
              <w:t>99000</w:t>
            </w:r>
          </w:p>
        </w:tc>
      </w:tr>
      <w:tr w:rsidR="005B2C14" w:rsidRPr="006B738D" w:rsidTr="00975628">
        <w:trPr>
          <w:trHeight w:val="244"/>
        </w:trPr>
        <w:tc>
          <w:tcPr>
            <w:tcW w:w="1973" w:type="dxa"/>
            <w:tcBorders>
              <w:left w:val="triple" w:sz="4" w:space="0" w:color="00B050"/>
            </w:tcBorders>
            <w:shd w:val="clear" w:color="auto" w:fill="D6E3BC"/>
          </w:tcPr>
          <w:p w:rsidR="005B2C14" w:rsidRPr="006B738D" w:rsidRDefault="005B2C14" w:rsidP="00975628">
            <w:pPr>
              <w:jc w:val="center"/>
              <w:rPr>
                <w:rFonts w:ascii="Calibri" w:eastAsia="Cambria" w:hAnsi="Calibri"/>
              </w:rPr>
            </w:pPr>
            <w:r w:rsidRPr="006B738D">
              <w:rPr>
                <w:rFonts w:ascii="Calibri" w:eastAsia="Times New Roman" w:hAnsi="Calibri" w:cs="Times New Roman"/>
                <w:b/>
                <w:bCs/>
              </w:rPr>
              <w:t>Western Pacific</w:t>
            </w:r>
          </w:p>
        </w:tc>
        <w:tc>
          <w:tcPr>
            <w:tcW w:w="1929" w:type="dxa"/>
          </w:tcPr>
          <w:p w:rsidR="005B2C14" w:rsidRPr="006B738D" w:rsidRDefault="005B2C14" w:rsidP="00975628">
            <w:pPr>
              <w:jc w:val="center"/>
              <w:rPr>
                <w:rFonts w:ascii="Calibri" w:eastAsia="Times New Roman" w:hAnsi="Calibri" w:cs="Times New Roman"/>
              </w:rPr>
            </w:pPr>
            <w:r w:rsidRPr="006B738D">
              <w:rPr>
                <w:rFonts w:ascii="Calibri" w:eastAsia="Times New Roman" w:hAnsi="Calibri" w:cs="Times New Roman"/>
              </w:rPr>
              <w:t>2500000</w:t>
            </w:r>
          </w:p>
        </w:tc>
        <w:tc>
          <w:tcPr>
            <w:tcW w:w="2436" w:type="dxa"/>
          </w:tcPr>
          <w:p w:rsidR="005B2C14" w:rsidRPr="006B738D" w:rsidRDefault="005B2C14" w:rsidP="00975628">
            <w:pPr>
              <w:jc w:val="center"/>
              <w:rPr>
                <w:rFonts w:ascii="Calibri" w:eastAsia="Cambria" w:hAnsi="Calibri"/>
              </w:rPr>
            </w:pPr>
            <w:r w:rsidRPr="006B738D">
              <w:rPr>
                <w:rFonts w:ascii="Calibri" w:eastAsia="Times New Roman" w:hAnsi="Calibri" w:cs="Times New Roman"/>
              </w:rPr>
              <w:t>138</w:t>
            </w:r>
          </w:p>
        </w:tc>
        <w:tc>
          <w:tcPr>
            <w:tcW w:w="1625" w:type="dxa"/>
          </w:tcPr>
          <w:p w:rsidR="005B2C14" w:rsidRPr="006B738D" w:rsidRDefault="005B2C14" w:rsidP="00975628">
            <w:pPr>
              <w:jc w:val="center"/>
              <w:rPr>
                <w:rFonts w:ascii="Calibri" w:eastAsia="Cambria" w:hAnsi="Calibri"/>
              </w:rPr>
            </w:pPr>
            <w:r w:rsidRPr="006B738D">
              <w:rPr>
                <w:rFonts w:ascii="Calibri" w:eastAsia="Times New Roman" w:hAnsi="Calibri" w:cs="Times New Roman"/>
              </w:rPr>
              <w:t>92</w:t>
            </w:r>
          </w:p>
        </w:tc>
        <w:tc>
          <w:tcPr>
            <w:tcW w:w="1625" w:type="dxa"/>
            <w:tcBorders>
              <w:right w:val="single" w:sz="4" w:space="0" w:color="00B050"/>
            </w:tcBorders>
          </w:tcPr>
          <w:p w:rsidR="005B2C14" w:rsidRPr="006B738D" w:rsidRDefault="005B2C14" w:rsidP="00975628">
            <w:pPr>
              <w:jc w:val="center"/>
              <w:rPr>
                <w:rFonts w:ascii="Calibri" w:eastAsia="Cambria" w:hAnsi="Calibri"/>
              </w:rPr>
            </w:pPr>
            <w:r w:rsidRPr="006B738D">
              <w:rPr>
                <w:rFonts w:ascii="Calibri" w:eastAsia="Times New Roman" w:hAnsi="Calibri" w:cs="Times New Roman"/>
              </w:rPr>
              <w:t>130000</w:t>
            </w:r>
          </w:p>
        </w:tc>
      </w:tr>
      <w:tr w:rsidR="005B2C14" w:rsidRPr="006B738D" w:rsidTr="00975628">
        <w:trPr>
          <w:trHeight w:val="256"/>
        </w:trPr>
        <w:tc>
          <w:tcPr>
            <w:tcW w:w="1973" w:type="dxa"/>
            <w:tcBorders>
              <w:left w:val="triple" w:sz="4" w:space="0" w:color="00B050"/>
              <w:bottom w:val="triple" w:sz="4" w:space="0" w:color="00B050"/>
            </w:tcBorders>
            <w:shd w:val="clear" w:color="auto" w:fill="D6E3BC"/>
          </w:tcPr>
          <w:p w:rsidR="005B2C14" w:rsidRPr="006B738D" w:rsidRDefault="005B2C14" w:rsidP="00975628">
            <w:pPr>
              <w:jc w:val="center"/>
              <w:rPr>
                <w:rFonts w:ascii="Calibri" w:eastAsia="Times New Roman" w:hAnsi="Calibri" w:cs="Times New Roman"/>
                <w:b/>
                <w:bCs/>
              </w:rPr>
            </w:pPr>
            <w:r w:rsidRPr="006B738D">
              <w:rPr>
                <w:rFonts w:ascii="Calibri" w:eastAsia="Times New Roman" w:hAnsi="Calibri" w:cs="Times New Roman"/>
                <w:b/>
                <w:bCs/>
              </w:rPr>
              <w:t>Global</w:t>
            </w:r>
          </w:p>
        </w:tc>
        <w:tc>
          <w:tcPr>
            <w:tcW w:w="1929" w:type="dxa"/>
            <w:tcBorders>
              <w:bottom w:val="triple" w:sz="4" w:space="0" w:color="00B050"/>
            </w:tcBorders>
          </w:tcPr>
          <w:p w:rsidR="005B2C14" w:rsidRPr="006B738D" w:rsidRDefault="005B2C14" w:rsidP="00975628">
            <w:pPr>
              <w:jc w:val="center"/>
              <w:rPr>
                <w:rFonts w:ascii="Calibri" w:eastAsia="Times New Roman" w:hAnsi="Calibri" w:cs="Times New Roman"/>
              </w:rPr>
            </w:pPr>
            <w:r w:rsidRPr="006B738D">
              <w:rPr>
                <w:rFonts w:ascii="Calibri" w:eastAsia="Times New Roman" w:hAnsi="Calibri" w:cs="Times New Roman"/>
              </w:rPr>
              <w:t>12000000</w:t>
            </w:r>
          </w:p>
        </w:tc>
        <w:tc>
          <w:tcPr>
            <w:tcW w:w="2436" w:type="dxa"/>
            <w:tcBorders>
              <w:bottom w:val="triple" w:sz="4" w:space="0" w:color="00B050"/>
            </w:tcBorders>
          </w:tcPr>
          <w:p w:rsidR="005B2C14" w:rsidRPr="006B738D" w:rsidRDefault="005B2C14" w:rsidP="00975628">
            <w:pPr>
              <w:jc w:val="center"/>
              <w:rPr>
                <w:rFonts w:ascii="Calibri" w:eastAsia="Cambria" w:hAnsi="Calibri"/>
              </w:rPr>
            </w:pPr>
            <w:r w:rsidRPr="006B738D">
              <w:rPr>
                <w:rFonts w:ascii="Calibri" w:eastAsia="Times New Roman" w:hAnsi="Calibri" w:cs="Times New Roman"/>
              </w:rPr>
              <w:t>170</w:t>
            </w:r>
          </w:p>
        </w:tc>
        <w:tc>
          <w:tcPr>
            <w:tcW w:w="1625" w:type="dxa"/>
            <w:tcBorders>
              <w:bottom w:val="triple" w:sz="4" w:space="0" w:color="00B050"/>
            </w:tcBorders>
          </w:tcPr>
          <w:p w:rsidR="005B2C14" w:rsidRPr="006B738D" w:rsidRDefault="005B2C14" w:rsidP="00975628">
            <w:pPr>
              <w:jc w:val="center"/>
              <w:rPr>
                <w:rFonts w:ascii="Calibri" w:eastAsia="Cambria" w:hAnsi="Calibri"/>
              </w:rPr>
            </w:pPr>
            <w:r w:rsidRPr="006B738D">
              <w:rPr>
                <w:rFonts w:ascii="Calibri" w:eastAsia="Times New Roman" w:hAnsi="Calibri" w:cs="Times New Roman"/>
              </w:rPr>
              <w:t>125</w:t>
            </w:r>
          </w:p>
        </w:tc>
        <w:tc>
          <w:tcPr>
            <w:tcW w:w="1625" w:type="dxa"/>
            <w:tcBorders>
              <w:bottom w:val="triple" w:sz="4" w:space="0" w:color="00B050"/>
              <w:right w:val="single" w:sz="4" w:space="0" w:color="00B050"/>
            </w:tcBorders>
          </w:tcPr>
          <w:p w:rsidR="005B2C14" w:rsidRPr="006B738D" w:rsidRDefault="005B2C14" w:rsidP="00975628">
            <w:pPr>
              <w:jc w:val="center"/>
              <w:rPr>
                <w:rFonts w:ascii="Calibri" w:eastAsia="Cambria" w:hAnsi="Calibri"/>
              </w:rPr>
            </w:pPr>
            <w:r w:rsidRPr="006B738D">
              <w:rPr>
                <w:rFonts w:ascii="Calibri" w:eastAsia="Times New Roman" w:hAnsi="Calibri" w:cs="Times New Roman"/>
              </w:rPr>
              <w:t>990000</w:t>
            </w:r>
          </w:p>
        </w:tc>
      </w:tr>
    </w:tbl>
    <w:p w:rsidR="00D80EC0" w:rsidRPr="006B738D" w:rsidRDefault="00D80EC0" w:rsidP="005B2C14">
      <w:pPr>
        <w:autoSpaceDE w:val="0"/>
        <w:autoSpaceDN w:val="0"/>
        <w:adjustRightInd w:val="0"/>
        <w:rPr>
          <w:rFonts w:ascii="Calibri" w:hAnsi="Calibri" w:cs="Adobe نسخ Medium"/>
          <w:color w:val="000000"/>
          <w:u w:val="dotDash"/>
        </w:rPr>
      </w:pPr>
    </w:p>
    <w:p w:rsidR="005B2C14" w:rsidRPr="006B738D" w:rsidRDefault="007259C2" w:rsidP="005E2AC9">
      <w:pPr>
        <w:pStyle w:val="a3"/>
        <w:ind w:left="0"/>
        <w:rPr>
          <w:rFonts w:ascii="Calibri" w:hAnsi="Calibri" w:cs="Times New Roman"/>
          <w:color w:val="000000"/>
        </w:rPr>
      </w:pPr>
      <w:r w:rsidRPr="006B738D">
        <w:rPr>
          <w:rFonts w:ascii="Calibri" w:hAnsi="Calibri"/>
        </w:rPr>
        <w:lastRenderedPageBreak/>
        <w:t xml:space="preserve">The incidence rate varies widely among countries </w:t>
      </w:r>
      <w:r w:rsidRPr="006B738D">
        <w:rPr>
          <w:rFonts w:ascii="Calibri" w:hAnsi="Calibri"/>
          <w:color w:val="FF0000"/>
        </w:rPr>
        <w:t>(Figure-1)</w:t>
      </w:r>
      <w:r w:rsidRPr="006B738D">
        <w:rPr>
          <w:rFonts w:ascii="Calibri" w:hAnsi="Calibri"/>
          <w:color w:val="000000"/>
        </w:rPr>
        <w:t>.</w:t>
      </w:r>
      <w:r w:rsidRPr="006B738D">
        <w:rPr>
          <w:rFonts w:ascii="Calibri" w:hAnsi="Calibri"/>
        </w:rPr>
        <w:t xml:space="preserve"> The lowest rates are found predominantly in high-income countries including most countries in Western Europe, Canada, the United States of America, Japan, Australia and New Zealand. </w:t>
      </w:r>
      <w:r w:rsidR="006D6CA0" w:rsidRPr="006B738D">
        <w:rPr>
          <w:rFonts w:ascii="Calibri" w:hAnsi="Calibri" w:cs="Times New Roman"/>
          <w:color w:val="000000"/>
        </w:rPr>
        <w:t>In 2012, about 80% of reported TB cases occurred in 22 countries. India has about 2 to 2.4 million cases, China has about 1 million, South Africa has about 05 million, Indonesia about 0.5 and Pakistan about 0.4 million. Some countries are experiencing a major decline in cases, while cases are dropping very slowly in others. For example, over the past 20 years Brazil and China show a sustained decline in TB cases while in Cambodia the TB prevalence fell by almost 45%.</w:t>
      </w:r>
    </w:p>
    <w:p w:rsidR="006D6CA0" w:rsidRPr="006B738D" w:rsidRDefault="006D6CA0" w:rsidP="005E2AC9">
      <w:pPr>
        <w:pStyle w:val="a3"/>
        <w:rPr>
          <w:rFonts w:ascii="Calibri" w:hAnsi="Calibri" w:cs="Times New Roman"/>
          <w:color w:val="000000"/>
        </w:rPr>
      </w:pPr>
    </w:p>
    <w:p w:rsidR="00393D20" w:rsidRPr="006B738D" w:rsidRDefault="005B2C14" w:rsidP="00D961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Cs/>
          <w:szCs w:val="24"/>
          <w:u w:val="single"/>
        </w:rPr>
      </w:pPr>
      <w:r w:rsidRPr="006B738D">
        <w:rPr>
          <w:rFonts w:ascii="Calibri" w:hAnsi="Calibri"/>
          <w:bCs/>
          <w:szCs w:val="24"/>
          <w:u w:val="single"/>
        </w:rPr>
        <w:t>Tuberculosis and Gender</w:t>
      </w:r>
    </w:p>
    <w:p w:rsidR="005B2C14" w:rsidRPr="006B738D" w:rsidRDefault="00D961AF" w:rsidP="006D6CA0">
      <w:pPr>
        <w:shd w:val="clear" w:color="auto" w:fill="FFFFFF"/>
        <w:autoSpaceDE w:val="0"/>
        <w:autoSpaceDN w:val="0"/>
        <w:adjustRightInd w:val="0"/>
        <w:rPr>
          <w:rFonts w:ascii="Calibri" w:hAnsi="Calibri" w:cs="Times New Roman"/>
          <w:bCs/>
          <w:color w:val="000000"/>
        </w:rPr>
      </w:pPr>
      <w:r w:rsidRPr="006B738D">
        <w:rPr>
          <w:rFonts w:ascii="Calibri" w:hAnsi="Calibri" w:cs="Times New Roman"/>
          <w:bCs/>
          <w:color w:val="000000"/>
        </w:rPr>
        <w:t>Worldwide,</w:t>
      </w:r>
      <w:r w:rsidR="00393D20" w:rsidRPr="006B738D">
        <w:rPr>
          <w:rFonts w:ascii="Calibri" w:hAnsi="Calibri" w:cs="Times New Roman"/>
          <w:bCs/>
          <w:color w:val="000000"/>
        </w:rPr>
        <w:t xml:space="preserve"> more men than women are diagnosed with tuberculosis (TB) and die from it</w:t>
      </w:r>
      <w:r w:rsidR="005B2C14" w:rsidRPr="006B738D">
        <w:rPr>
          <w:rFonts w:ascii="Calibri" w:hAnsi="Calibri" w:cs="Times New Roman"/>
          <w:bCs/>
          <w:color w:val="000000"/>
        </w:rPr>
        <w:t>, but TB remains among the top three killers of women worldwide.</w:t>
      </w:r>
      <w:r w:rsidR="006D6CA0" w:rsidRPr="006B738D">
        <w:rPr>
          <w:rFonts w:ascii="Calibri" w:hAnsi="Calibri" w:cs="Times New Roman"/>
          <w:bCs/>
          <w:color w:val="000000"/>
        </w:rPr>
        <w:t xml:space="preserve">  There are 8.6 million new TB cases worldwide in 2012, 2.9 million were women. </w:t>
      </w:r>
      <w:r w:rsidR="005B2C14" w:rsidRPr="006B738D">
        <w:rPr>
          <w:rFonts w:ascii="Calibri" w:hAnsi="Calibri" w:cs="Times New Roman"/>
          <w:bCs/>
          <w:color w:val="000000"/>
        </w:rPr>
        <w:t>In 2012, there were 410 000 TB deaths among women.</w:t>
      </w:r>
      <w:r w:rsidR="006D6CA0" w:rsidRPr="006B738D">
        <w:rPr>
          <w:rFonts w:ascii="Calibri" w:hAnsi="Calibri" w:cs="Times New Roman"/>
          <w:bCs/>
          <w:color w:val="000000"/>
        </w:rPr>
        <w:t xml:space="preserve"> </w:t>
      </w:r>
      <w:r w:rsidR="005B2C14" w:rsidRPr="006B738D">
        <w:rPr>
          <w:rFonts w:ascii="Calibri" w:hAnsi="Calibri" w:cs="Times New Roman"/>
          <w:bCs/>
          <w:color w:val="000000"/>
        </w:rPr>
        <w:t xml:space="preserve">50% of HIV-positive people who died from TB were women. </w:t>
      </w:r>
    </w:p>
    <w:p w:rsidR="005B2C14" w:rsidRPr="006B738D" w:rsidRDefault="005B2C14" w:rsidP="005B2C14">
      <w:pPr>
        <w:autoSpaceDE w:val="0"/>
        <w:autoSpaceDN w:val="0"/>
        <w:adjustRightInd w:val="0"/>
        <w:rPr>
          <w:rFonts w:ascii="Calibri" w:hAnsi="Calibri" w:cs="ChaparralPro-Regular"/>
          <w:bCs/>
          <w:color w:val="000000"/>
        </w:rPr>
      </w:pPr>
    </w:p>
    <w:p w:rsidR="005B2C14" w:rsidRPr="006B738D" w:rsidRDefault="005B2C14" w:rsidP="005B2C1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Cs/>
          <w:szCs w:val="24"/>
        </w:rPr>
      </w:pPr>
      <w:r w:rsidRPr="006B738D">
        <w:rPr>
          <w:rFonts w:ascii="Calibri" w:hAnsi="Calibri"/>
          <w:bCs/>
          <w:szCs w:val="24"/>
          <w:u w:val="single"/>
        </w:rPr>
        <w:t>Tuberculosis and Age</w:t>
      </w:r>
    </w:p>
    <w:p w:rsidR="005B2C14" w:rsidRPr="006B738D" w:rsidRDefault="00393D20" w:rsidP="005B2C14">
      <w:pPr>
        <w:autoSpaceDE w:val="0"/>
        <w:autoSpaceDN w:val="0"/>
        <w:adjustRightInd w:val="0"/>
        <w:rPr>
          <w:rFonts w:ascii="Calibri" w:hAnsi="Calibri" w:cs="Times New Roman"/>
          <w:bCs/>
          <w:color w:val="000000"/>
        </w:rPr>
      </w:pPr>
      <w:r w:rsidRPr="006B738D">
        <w:rPr>
          <w:rFonts w:ascii="Calibri" w:hAnsi="Calibri" w:cs="Times New Roman"/>
          <w:bCs/>
          <w:color w:val="000000"/>
        </w:rPr>
        <w:t>TB incidence varies with age. In Africa, TB primarily affects adolescents and young adults. However, in countries where TB has low incidence, such as the United States, TB is mainly a disease of older people, or of the immunocompromised patient.</w:t>
      </w:r>
    </w:p>
    <w:p w:rsidR="00577B3A" w:rsidRPr="006B738D" w:rsidRDefault="00577B3A" w:rsidP="005B2C14">
      <w:pPr>
        <w:autoSpaceDE w:val="0"/>
        <w:autoSpaceDN w:val="0"/>
        <w:adjustRightInd w:val="0"/>
        <w:rPr>
          <w:rFonts w:ascii="Calibri" w:hAnsi="Calibri" w:cs="Times New Roman"/>
          <w:bCs/>
          <w:color w:val="000000"/>
        </w:rPr>
      </w:pPr>
    </w:p>
    <w:p w:rsidR="0038637D" w:rsidRPr="006B738D" w:rsidRDefault="0038637D" w:rsidP="00283BF5">
      <w:pPr>
        <w:pStyle w:val="a3"/>
        <w:autoSpaceDE w:val="0"/>
        <w:autoSpaceDN w:val="0"/>
        <w:adjustRightInd w:val="0"/>
        <w:ind w:left="0"/>
        <w:rPr>
          <w:rFonts w:ascii="Calibri" w:hAnsi="Calibri" w:cs="Times New Roman"/>
          <w:bCs/>
          <w:u w:val="single"/>
        </w:rPr>
      </w:pPr>
      <w:r w:rsidRPr="006B738D">
        <w:rPr>
          <w:rFonts w:ascii="Calibri" w:hAnsi="Calibri" w:cs="Times New Roman"/>
          <w:bCs/>
          <w:u w:val="single"/>
        </w:rPr>
        <w:t>HIV and TB:</w:t>
      </w:r>
    </w:p>
    <w:p w:rsidR="0038637D" w:rsidRPr="006B738D" w:rsidRDefault="0038637D" w:rsidP="0038637D">
      <w:pPr>
        <w:autoSpaceDE w:val="0"/>
        <w:autoSpaceDN w:val="0"/>
        <w:adjustRightInd w:val="0"/>
        <w:rPr>
          <w:rFonts w:ascii="Calibri" w:hAnsi="Calibri" w:cs="Times New Roman"/>
          <w:bCs/>
        </w:rPr>
      </w:pPr>
      <w:r w:rsidRPr="006B738D">
        <w:rPr>
          <w:rFonts w:ascii="Calibri" w:hAnsi="Calibri" w:cs="Times New Roman"/>
          <w:bCs/>
        </w:rPr>
        <w:t xml:space="preserve">In the countries where the HIV prevalence is high the extra-pulmonary prevalence is high, too as </w:t>
      </w:r>
      <w:r w:rsidR="00283BF5" w:rsidRPr="006B738D">
        <w:rPr>
          <w:rFonts w:ascii="Calibri" w:hAnsi="Calibri" w:cs="Times New Roman"/>
          <w:bCs/>
        </w:rPr>
        <w:t>immune-</w:t>
      </w:r>
      <w:r w:rsidRPr="006B738D">
        <w:rPr>
          <w:rFonts w:ascii="Calibri" w:hAnsi="Calibri" w:cs="Times New Roman"/>
          <w:bCs/>
        </w:rPr>
        <w:t xml:space="preserve">compromised patients are highly susceptible to extra-pulmonary TB. Mortality among HIV infected person is high. </w:t>
      </w:r>
    </w:p>
    <w:p w:rsidR="007259C2" w:rsidRPr="006B738D" w:rsidRDefault="007259C2" w:rsidP="005B2C14">
      <w:pPr>
        <w:autoSpaceDE w:val="0"/>
        <w:autoSpaceDN w:val="0"/>
        <w:adjustRightInd w:val="0"/>
        <w:rPr>
          <w:rFonts w:ascii="Calibri" w:hAnsi="Calibri" w:cs="Times New Roman"/>
          <w:bCs/>
          <w:color w:val="000000"/>
        </w:rPr>
      </w:pPr>
    </w:p>
    <w:p w:rsidR="007259C2" w:rsidRPr="006B738D" w:rsidRDefault="007259C2" w:rsidP="005B2C14">
      <w:pPr>
        <w:autoSpaceDE w:val="0"/>
        <w:autoSpaceDN w:val="0"/>
        <w:adjustRightInd w:val="0"/>
        <w:rPr>
          <w:rFonts w:ascii="Calibri" w:hAnsi="Calibri" w:cs="Times New Roman"/>
          <w:bCs/>
          <w:color w:val="000000"/>
          <w:u w:val="single"/>
        </w:rPr>
      </w:pPr>
      <w:r w:rsidRPr="006B738D">
        <w:rPr>
          <w:rFonts w:ascii="Calibri" w:hAnsi="Calibri" w:cs="Times New Roman"/>
          <w:bCs/>
          <w:color w:val="000000"/>
          <w:u w:val="single"/>
        </w:rPr>
        <w:t>TB in the Middle East</w:t>
      </w:r>
      <w:r w:rsidR="00283BF5" w:rsidRPr="006B738D">
        <w:rPr>
          <w:rFonts w:ascii="Calibri" w:hAnsi="Calibri" w:cs="Times New Roman"/>
          <w:bCs/>
          <w:color w:val="000000"/>
          <w:u w:val="single"/>
        </w:rPr>
        <w:t xml:space="preserve"> &amp; Saudi Arabia</w:t>
      </w:r>
    </w:p>
    <w:p w:rsidR="007259C2" w:rsidRPr="006B738D" w:rsidRDefault="007259C2" w:rsidP="005B2C14">
      <w:pPr>
        <w:autoSpaceDE w:val="0"/>
        <w:autoSpaceDN w:val="0"/>
        <w:adjustRightInd w:val="0"/>
        <w:rPr>
          <w:rFonts w:ascii="Calibri" w:hAnsi="Calibri" w:cs="Times New Roman"/>
          <w:color w:val="000000"/>
        </w:rPr>
      </w:pPr>
      <w:r w:rsidRPr="006B738D">
        <w:rPr>
          <w:rFonts w:ascii="Calibri" w:hAnsi="Calibri"/>
        </w:rPr>
        <w:t xml:space="preserve"> In the Middle East, the prevalence rate of the disease was as low as 6.2 per 100 000 people in 2010 in the United Arab Emirates; however, in Yemen the rate was 71 per 100 000 people in 2010.</w:t>
      </w:r>
    </w:p>
    <w:p w:rsidR="005B2C14" w:rsidRPr="006B738D" w:rsidRDefault="005B2C14" w:rsidP="009862BB">
      <w:pPr>
        <w:autoSpaceDE w:val="0"/>
        <w:autoSpaceDN w:val="0"/>
        <w:adjustRightInd w:val="0"/>
        <w:rPr>
          <w:rFonts w:ascii="Calibri" w:hAnsi="Calibri"/>
          <w:color w:val="000000"/>
        </w:rPr>
      </w:pPr>
    </w:p>
    <w:p w:rsidR="007259C2" w:rsidRPr="006B738D" w:rsidRDefault="007259C2" w:rsidP="00283BF5">
      <w:pPr>
        <w:rPr>
          <w:rFonts w:ascii="Calibri" w:hAnsi="Calibri"/>
        </w:rPr>
      </w:pPr>
      <w:r w:rsidRPr="006B738D">
        <w:rPr>
          <w:rFonts w:ascii="Calibri" w:hAnsi="Calibri"/>
        </w:rPr>
        <w:t xml:space="preserve">The composition of the population of Saudi Arabia is unique for two reasons: nearly one-third of its 27 million inhabitants are immigrant workers. The incidence rate of tuberculosis in Saudi Arabia varies between Saudis and non-Saudis.  </w:t>
      </w:r>
      <w:r w:rsidR="00283BF5" w:rsidRPr="006B738D">
        <w:rPr>
          <w:rFonts w:ascii="Calibri" w:hAnsi="Calibri"/>
          <w:color w:val="000000"/>
          <w:shd w:val="clear" w:color="auto" w:fill="FFFFFF"/>
        </w:rPr>
        <w:t xml:space="preserve">There were a total of 64,345 TB cases reported to the Ministry of Health during 1991-2010. Of these, there were 46,827 (73%) pulmonary TB cases and 17,518 (27%) extra-pulmonary TB. There were 33,468 (52%) Saudi patients and 30,837 (48%) non-Saudis. The majority (62%) were males. Over 70% of the cases were reported from the Central and Makkah regions. These two regions have 52% of the population of the kingdom. </w:t>
      </w:r>
      <w:r w:rsidRPr="006B738D">
        <w:rPr>
          <w:rFonts w:ascii="Calibri" w:hAnsi="Calibri"/>
        </w:rPr>
        <w:t>A study conducted to identify the epidemiology of tuberculosis in Saudi Arabia during the period from 2000 to 2009, showed that the incidence rate in the Saudis was 11 cases per 100 000 population, while in the non-Saudis, the incidence rate was almost 35 cases per 100 000 population.       The mortality rate of tuberculosis patients in Saudi Arabia is 4 deaths per 100 000 population.</w:t>
      </w:r>
    </w:p>
    <w:p w:rsidR="007259C2" w:rsidRPr="006B738D" w:rsidRDefault="007259C2" w:rsidP="007259C2">
      <w:pPr>
        <w:rPr>
          <w:rFonts w:ascii="Calibri" w:hAnsi="Calibri"/>
        </w:rPr>
      </w:pPr>
    </w:p>
    <w:p w:rsidR="00F92901" w:rsidRPr="006B738D" w:rsidRDefault="007259C2" w:rsidP="007259C2">
      <w:pPr>
        <w:rPr>
          <w:rFonts w:ascii="Calibri" w:hAnsi="Calibri" w:cs="Times New Roman"/>
          <w:b/>
        </w:rPr>
      </w:pPr>
      <w:r w:rsidRPr="006B738D">
        <w:rPr>
          <w:rFonts w:ascii="Calibri" w:hAnsi="Calibri"/>
        </w:rPr>
        <w:t xml:space="preserve"> </w:t>
      </w:r>
      <w:r w:rsidR="00F92901" w:rsidRPr="006B738D">
        <w:rPr>
          <w:rFonts w:ascii="Calibri" w:hAnsi="Calibri" w:cs="Times New Roman"/>
          <w:b/>
          <w:u w:val="single"/>
        </w:rPr>
        <w:t>Risk factors</w:t>
      </w:r>
      <w:r w:rsidR="00F92901" w:rsidRPr="006B738D">
        <w:rPr>
          <w:rFonts w:ascii="Calibri" w:hAnsi="Calibri" w:cs="Times New Roman"/>
          <w:b/>
        </w:rPr>
        <w:t>:</w:t>
      </w:r>
    </w:p>
    <w:p w:rsidR="00F92901" w:rsidRPr="006B738D" w:rsidRDefault="00C831BC" w:rsidP="007259C2">
      <w:pPr>
        <w:rPr>
          <w:rFonts w:ascii="Calibri" w:hAnsi="Calibri" w:cs="Times New Roman"/>
        </w:rPr>
      </w:pPr>
      <w:r w:rsidRPr="006B738D">
        <w:rPr>
          <w:rFonts w:ascii="Calibri" w:hAnsi="Calibri" w:cs="Times New Roman"/>
        </w:rPr>
        <w:t xml:space="preserve">The risk of </w:t>
      </w:r>
      <w:r w:rsidR="00717146" w:rsidRPr="006B738D">
        <w:rPr>
          <w:rFonts w:ascii="Calibri" w:hAnsi="Calibri" w:cs="Times New Roman"/>
        </w:rPr>
        <w:t>falling ill with</w:t>
      </w:r>
      <w:r w:rsidRPr="006B738D">
        <w:rPr>
          <w:rFonts w:ascii="Calibri" w:hAnsi="Calibri" w:cs="Times New Roman"/>
        </w:rPr>
        <w:t xml:space="preserve"> an active disease after a Tuberculosis Bacilli exposure </w:t>
      </w:r>
      <w:r w:rsidR="00717146" w:rsidRPr="006B738D">
        <w:rPr>
          <w:rFonts w:ascii="Calibri" w:hAnsi="Calibri" w:cs="Times New Roman"/>
        </w:rPr>
        <w:t>can be</w:t>
      </w:r>
      <w:r w:rsidR="00F177F8" w:rsidRPr="006B738D">
        <w:rPr>
          <w:rFonts w:ascii="Calibri" w:hAnsi="Calibri" w:cs="Times New Roman"/>
        </w:rPr>
        <w:t xml:space="preserve"> divided into two categories:</w:t>
      </w:r>
    </w:p>
    <w:p w:rsidR="008A387D" w:rsidRPr="006B738D" w:rsidRDefault="00F177F8" w:rsidP="00B958B0">
      <w:pPr>
        <w:pStyle w:val="a3"/>
        <w:numPr>
          <w:ilvl w:val="0"/>
          <w:numId w:val="1"/>
        </w:numPr>
        <w:rPr>
          <w:rFonts w:ascii="Calibri" w:hAnsi="Calibri" w:cs="Times New Roman"/>
        </w:rPr>
      </w:pPr>
      <w:r w:rsidRPr="006B738D">
        <w:rPr>
          <w:rFonts w:ascii="Calibri" w:hAnsi="Calibri" w:cs="Times New Roman"/>
          <w:u w:val="single"/>
        </w:rPr>
        <w:t>Recent infection with TB</w:t>
      </w:r>
      <w:r w:rsidR="007259C2" w:rsidRPr="006B738D">
        <w:rPr>
          <w:rFonts w:ascii="Calibri" w:hAnsi="Calibri" w:cs="Times New Roman"/>
          <w:u w:val="single"/>
        </w:rPr>
        <w:t xml:space="preserve"> could be due to </w:t>
      </w:r>
      <w:r w:rsidR="005E2AC9" w:rsidRPr="006B738D">
        <w:rPr>
          <w:rFonts w:ascii="Calibri" w:hAnsi="Calibri" w:cs="Times New Roman"/>
        </w:rPr>
        <w:t>c</w:t>
      </w:r>
      <w:r w:rsidR="008A387D" w:rsidRPr="006B738D">
        <w:rPr>
          <w:rFonts w:ascii="Calibri" w:hAnsi="Calibri" w:cs="Times New Roman"/>
        </w:rPr>
        <w:t>ontact with an infectious TB patient</w:t>
      </w:r>
      <w:r w:rsidR="007259C2" w:rsidRPr="006B738D">
        <w:rPr>
          <w:rFonts w:ascii="Calibri" w:hAnsi="Calibri" w:cs="Times New Roman"/>
        </w:rPr>
        <w:t>, p</w:t>
      </w:r>
      <w:r w:rsidR="008A387D" w:rsidRPr="006B738D">
        <w:rPr>
          <w:rFonts w:ascii="Calibri" w:hAnsi="Calibri" w:cs="Times New Roman"/>
        </w:rPr>
        <w:t>eople who immigrated from countries with high TB rate</w:t>
      </w:r>
      <w:r w:rsidR="007259C2" w:rsidRPr="006B738D">
        <w:rPr>
          <w:rFonts w:ascii="Calibri" w:hAnsi="Calibri" w:cs="Times New Roman"/>
        </w:rPr>
        <w:t xml:space="preserve"> might be affected, </w:t>
      </w:r>
      <w:r w:rsidR="008A387D" w:rsidRPr="006B738D">
        <w:rPr>
          <w:rFonts w:ascii="Calibri" w:hAnsi="Calibri" w:cs="Times New Roman"/>
        </w:rPr>
        <w:t xml:space="preserve">Homeless people, </w:t>
      </w:r>
      <w:r w:rsidR="007259C2" w:rsidRPr="006B738D">
        <w:rPr>
          <w:rFonts w:ascii="Calibri" w:hAnsi="Calibri" w:cs="Times New Roman"/>
        </w:rPr>
        <w:t>d</w:t>
      </w:r>
      <w:r w:rsidR="008A387D" w:rsidRPr="006B738D">
        <w:rPr>
          <w:rFonts w:ascii="Calibri" w:hAnsi="Calibri" w:cs="Times New Roman"/>
        </w:rPr>
        <w:t>rug users and alcoholic</w:t>
      </w:r>
      <w:r w:rsidR="0038637D" w:rsidRPr="006B738D">
        <w:rPr>
          <w:rFonts w:ascii="Calibri" w:hAnsi="Calibri" w:cs="Times New Roman"/>
        </w:rPr>
        <w:t xml:space="preserve">, and </w:t>
      </w:r>
      <w:r w:rsidR="008A387D" w:rsidRPr="006B738D">
        <w:rPr>
          <w:rFonts w:ascii="Calibri" w:hAnsi="Calibri" w:cs="Times New Roman"/>
        </w:rPr>
        <w:t>People who work</w:t>
      </w:r>
      <w:r w:rsidR="004F1C56" w:rsidRPr="006B738D">
        <w:rPr>
          <w:rFonts w:ascii="Calibri" w:hAnsi="Calibri" w:cs="Times New Roman"/>
        </w:rPr>
        <w:t xml:space="preserve"> or live</w:t>
      </w:r>
      <w:r w:rsidR="008A387D" w:rsidRPr="006B738D">
        <w:rPr>
          <w:rFonts w:ascii="Calibri" w:hAnsi="Calibri" w:cs="Times New Roman"/>
        </w:rPr>
        <w:t xml:space="preserve"> in places with high risk of TB infection (</w:t>
      </w:r>
      <w:r w:rsidR="0038637D" w:rsidRPr="006B738D">
        <w:rPr>
          <w:rFonts w:ascii="Calibri" w:hAnsi="Calibri" w:cs="Times New Roman"/>
        </w:rPr>
        <w:t xml:space="preserve">such as </w:t>
      </w:r>
      <w:r w:rsidR="008A387D" w:rsidRPr="006B738D">
        <w:rPr>
          <w:rFonts w:ascii="Calibri" w:hAnsi="Calibri" w:cs="Times New Roman"/>
        </w:rPr>
        <w:t>hospitals, homeless shelters, nursing homes, prison</w:t>
      </w:r>
      <w:r w:rsidR="0038637D" w:rsidRPr="006B738D">
        <w:rPr>
          <w:rFonts w:ascii="Calibri" w:hAnsi="Calibri" w:cs="Times New Roman"/>
        </w:rPr>
        <w:t xml:space="preserve"> etc)</w:t>
      </w:r>
      <w:r w:rsidR="008A387D" w:rsidRPr="006B738D">
        <w:rPr>
          <w:rFonts w:ascii="Calibri" w:hAnsi="Calibri" w:cs="Times New Roman"/>
        </w:rPr>
        <w:t xml:space="preserve"> </w:t>
      </w:r>
    </w:p>
    <w:p w:rsidR="004F1C56" w:rsidRPr="006B738D" w:rsidRDefault="004F1C56" w:rsidP="004F1C56">
      <w:pPr>
        <w:ind w:left="360"/>
        <w:rPr>
          <w:rFonts w:ascii="Calibri" w:hAnsi="Calibri" w:cs="Times New Roman"/>
        </w:rPr>
      </w:pPr>
    </w:p>
    <w:p w:rsidR="009862BB" w:rsidRPr="006B738D" w:rsidRDefault="00F177F8" w:rsidP="00B958B0">
      <w:pPr>
        <w:pStyle w:val="a3"/>
        <w:numPr>
          <w:ilvl w:val="0"/>
          <w:numId w:val="8"/>
        </w:numPr>
        <w:rPr>
          <w:rFonts w:ascii="Calibri" w:hAnsi="Calibri" w:cs="Times New Roman"/>
        </w:rPr>
      </w:pPr>
      <w:r w:rsidRPr="006B738D">
        <w:rPr>
          <w:rFonts w:ascii="Calibri" w:hAnsi="Calibri" w:cs="Times New Roman"/>
          <w:u w:val="single"/>
        </w:rPr>
        <w:t xml:space="preserve">Weak immune system due to other medical conditions </w:t>
      </w:r>
      <w:r w:rsidR="007259C2" w:rsidRPr="006B738D">
        <w:rPr>
          <w:rFonts w:ascii="Calibri" w:hAnsi="Calibri" w:cs="Times New Roman"/>
          <w:u w:val="single"/>
        </w:rPr>
        <w:t xml:space="preserve">and risks include factors such as </w:t>
      </w:r>
      <w:r w:rsidR="006959AB" w:rsidRPr="006B738D">
        <w:rPr>
          <w:rFonts w:ascii="Calibri" w:hAnsi="Calibri" w:cs="Times New Roman"/>
        </w:rPr>
        <w:t>HIV infection</w:t>
      </w:r>
      <w:r w:rsidR="007259C2" w:rsidRPr="006B738D">
        <w:rPr>
          <w:rFonts w:ascii="Calibri" w:hAnsi="Calibri" w:cs="Times New Roman"/>
        </w:rPr>
        <w:t xml:space="preserve">, </w:t>
      </w:r>
      <w:r w:rsidR="00007331" w:rsidRPr="006B738D">
        <w:rPr>
          <w:rFonts w:ascii="Calibri" w:hAnsi="Calibri" w:cs="Times New Roman"/>
        </w:rPr>
        <w:t>Tobacco Smoke</w:t>
      </w:r>
      <w:r w:rsidR="007259C2" w:rsidRPr="006B738D">
        <w:rPr>
          <w:rFonts w:ascii="Calibri" w:hAnsi="Calibri" w:cs="Times New Roman"/>
        </w:rPr>
        <w:t xml:space="preserve">, </w:t>
      </w:r>
      <w:r w:rsidR="008A387D" w:rsidRPr="006B738D">
        <w:rPr>
          <w:rFonts w:ascii="Calibri" w:hAnsi="Calibri" w:cs="Times New Roman"/>
        </w:rPr>
        <w:t>Diabetes mellitus</w:t>
      </w:r>
      <w:r w:rsidR="007259C2" w:rsidRPr="006B738D">
        <w:rPr>
          <w:rFonts w:ascii="Calibri" w:hAnsi="Calibri" w:cs="Times New Roman"/>
        </w:rPr>
        <w:t xml:space="preserve">, </w:t>
      </w:r>
      <w:r w:rsidR="008A387D" w:rsidRPr="006B738D">
        <w:rPr>
          <w:rFonts w:ascii="Calibri" w:hAnsi="Calibri" w:cs="Times New Roman"/>
        </w:rPr>
        <w:t xml:space="preserve">Severe </w:t>
      </w:r>
      <w:r w:rsidR="00901DC4" w:rsidRPr="006B738D">
        <w:rPr>
          <w:rFonts w:ascii="Calibri" w:hAnsi="Calibri" w:cs="Times New Roman"/>
        </w:rPr>
        <w:t>Renal</w:t>
      </w:r>
      <w:r w:rsidR="008A387D" w:rsidRPr="006B738D">
        <w:rPr>
          <w:rFonts w:ascii="Calibri" w:hAnsi="Calibri" w:cs="Times New Roman"/>
        </w:rPr>
        <w:t xml:space="preserve"> disease</w:t>
      </w:r>
      <w:r w:rsidR="007259C2" w:rsidRPr="006B738D">
        <w:rPr>
          <w:rFonts w:ascii="Calibri" w:hAnsi="Calibri" w:cs="Times New Roman"/>
        </w:rPr>
        <w:t xml:space="preserve">, Organ transplants, </w:t>
      </w:r>
      <w:r w:rsidR="00867863" w:rsidRPr="006B738D">
        <w:rPr>
          <w:rFonts w:ascii="Calibri" w:hAnsi="Calibri" w:cs="Times New Roman"/>
        </w:rPr>
        <w:t xml:space="preserve">Elderly </w:t>
      </w:r>
      <w:r w:rsidR="000903BA" w:rsidRPr="006B738D">
        <w:rPr>
          <w:rFonts w:ascii="Calibri" w:hAnsi="Calibri" w:cs="Times New Roman"/>
        </w:rPr>
        <w:t xml:space="preserve">people </w:t>
      </w:r>
      <w:r w:rsidR="00867863" w:rsidRPr="006B738D">
        <w:rPr>
          <w:rFonts w:ascii="Calibri" w:hAnsi="Calibri" w:cs="Times New Roman"/>
        </w:rPr>
        <w:t>and neonate</w:t>
      </w:r>
      <w:r w:rsidR="00D961AF" w:rsidRPr="006B738D">
        <w:rPr>
          <w:rFonts w:ascii="Calibri" w:hAnsi="Calibri" w:cs="Times New Roman"/>
        </w:rPr>
        <w:t>s</w:t>
      </w:r>
      <w:r w:rsidR="007259C2" w:rsidRPr="006B738D">
        <w:rPr>
          <w:rFonts w:ascii="Calibri" w:hAnsi="Calibri" w:cs="Times New Roman"/>
        </w:rPr>
        <w:t>, treatment with corticosteroids etc</w:t>
      </w:r>
      <w:r w:rsidR="00867863" w:rsidRPr="006B738D">
        <w:rPr>
          <w:rFonts w:ascii="Calibri" w:hAnsi="Calibri" w:cs="Times New Roman"/>
        </w:rPr>
        <w:t xml:space="preserve"> </w:t>
      </w:r>
    </w:p>
    <w:p w:rsidR="00D961AF" w:rsidRPr="006B738D" w:rsidRDefault="00D961AF" w:rsidP="00D961AF">
      <w:pPr>
        <w:autoSpaceDE w:val="0"/>
        <w:autoSpaceDN w:val="0"/>
        <w:adjustRightInd w:val="0"/>
        <w:rPr>
          <w:rFonts w:ascii="Calibri" w:hAnsi="Calibri" w:cs="Times New Roman"/>
        </w:rPr>
      </w:pPr>
    </w:p>
    <w:p w:rsidR="00D961AF" w:rsidRPr="006B738D" w:rsidRDefault="00D961AF" w:rsidP="00D961AF">
      <w:pPr>
        <w:pStyle w:val="a3"/>
        <w:numPr>
          <w:ilvl w:val="0"/>
          <w:numId w:val="4"/>
        </w:numPr>
        <w:autoSpaceDE w:val="0"/>
        <w:autoSpaceDN w:val="0"/>
        <w:adjustRightInd w:val="0"/>
        <w:ind w:left="-142"/>
        <w:rPr>
          <w:rFonts w:ascii="Calibri" w:hAnsi="Calibri" w:cs="Times New Roman"/>
          <w:b/>
          <w:bCs/>
        </w:rPr>
      </w:pPr>
      <w:r w:rsidRPr="006B738D">
        <w:rPr>
          <w:rFonts w:ascii="Calibri" w:hAnsi="Calibri" w:cs="Times New Roman"/>
          <w:b/>
          <w:bCs/>
          <w:u w:val="single"/>
        </w:rPr>
        <w:lastRenderedPageBreak/>
        <w:t>Factors affecting the epidemiology of TB in Saudi Arabia</w:t>
      </w:r>
      <w:r w:rsidRPr="006B738D">
        <w:rPr>
          <w:rFonts w:ascii="Calibri" w:hAnsi="Calibri" w:cs="Times New Roman"/>
          <w:b/>
          <w:bCs/>
        </w:rPr>
        <w:t>:</w:t>
      </w:r>
    </w:p>
    <w:p w:rsidR="00D961AF" w:rsidRPr="006B738D" w:rsidRDefault="0038637D" w:rsidP="0038637D">
      <w:pPr>
        <w:autoSpaceDE w:val="0"/>
        <w:autoSpaceDN w:val="0"/>
        <w:adjustRightInd w:val="0"/>
        <w:rPr>
          <w:rFonts w:ascii="Calibri" w:hAnsi="Calibri" w:cs="Times New Roman"/>
        </w:rPr>
      </w:pPr>
      <w:r w:rsidRPr="006B738D">
        <w:rPr>
          <w:rFonts w:ascii="Calibri" w:hAnsi="Calibri" w:cs="Times New Roman"/>
        </w:rPr>
        <w:t xml:space="preserve">As mentioned earlier, the incidence and prevalence are different for the Saudi nationals and immigrant workers in Saudi Arabia. Other factors include Hajj and Omra. For Hajj and Omra a large number of </w:t>
      </w:r>
      <w:r w:rsidR="00D961AF" w:rsidRPr="006B738D">
        <w:rPr>
          <w:rFonts w:ascii="Calibri" w:hAnsi="Calibri" w:cs="Times New Roman"/>
        </w:rPr>
        <w:t xml:space="preserve">visitors come from </w:t>
      </w:r>
      <w:r w:rsidRPr="006B738D">
        <w:rPr>
          <w:rFonts w:ascii="Calibri" w:hAnsi="Calibri" w:cs="Times New Roman"/>
        </w:rPr>
        <w:t xml:space="preserve">countries where TB is </w:t>
      </w:r>
      <w:r w:rsidR="00D961AF" w:rsidRPr="006B738D">
        <w:rPr>
          <w:rFonts w:ascii="Calibri" w:hAnsi="Calibri" w:cs="Times New Roman"/>
        </w:rPr>
        <w:t>endemic</w:t>
      </w:r>
      <w:r w:rsidRPr="006B738D">
        <w:rPr>
          <w:rFonts w:ascii="Calibri" w:hAnsi="Calibri" w:cs="Times New Roman"/>
        </w:rPr>
        <w:t xml:space="preserve">. </w:t>
      </w:r>
      <w:r w:rsidR="00D961AF" w:rsidRPr="006B738D">
        <w:rPr>
          <w:rFonts w:ascii="Calibri" w:hAnsi="Calibri" w:cs="Times New Roman"/>
        </w:rPr>
        <w:t xml:space="preserve">In </w:t>
      </w:r>
      <w:r w:rsidRPr="006B738D">
        <w:rPr>
          <w:rFonts w:ascii="Calibri" w:hAnsi="Calibri" w:cs="Times New Roman"/>
        </w:rPr>
        <w:t>H</w:t>
      </w:r>
      <w:r w:rsidR="00D961AF" w:rsidRPr="006B738D">
        <w:rPr>
          <w:rFonts w:ascii="Calibri" w:hAnsi="Calibri" w:cs="Times New Roman"/>
        </w:rPr>
        <w:t xml:space="preserve">ajj people </w:t>
      </w:r>
      <w:r w:rsidRPr="006B738D">
        <w:rPr>
          <w:rFonts w:ascii="Calibri" w:hAnsi="Calibri" w:cs="Times New Roman"/>
        </w:rPr>
        <w:t xml:space="preserve">are exposed to many risks </w:t>
      </w:r>
      <w:r w:rsidR="00D961AF" w:rsidRPr="006B738D">
        <w:rPr>
          <w:rFonts w:ascii="Calibri" w:hAnsi="Calibri" w:cs="Times New Roman"/>
        </w:rPr>
        <w:t xml:space="preserve">factors mentioned previously </w:t>
      </w:r>
      <w:r w:rsidRPr="006B738D">
        <w:rPr>
          <w:rFonts w:ascii="Calibri" w:hAnsi="Calibri" w:cs="Times New Roman"/>
        </w:rPr>
        <w:t xml:space="preserve">i.e. old age, existing other diseases etc </w:t>
      </w:r>
    </w:p>
    <w:p w:rsidR="0038637D" w:rsidRPr="006B738D" w:rsidRDefault="0038637D" w:rsidP="00D961AF">
      <w:pPr>
        <w:autoSpaceDE w:val="0"/>
        <w:autoSpaceDN w:val="0"/>
        <w:adjustRightInd w:val="0"/>
        <w:rPr>
          <w:rFonts w:ascii="Calibri" w:hAnsi="Calibri" w:cs="Times New Roman"/>
        </w:rPr>
      </w:pPr>
    </w:p>
    <w:p w:rsidR="00F92901" w:rsidRPr="006B738D" w:rsidRDefault="00F92901" w:rsidP="009862BB">
      <w:pPr>
        <w:spacing w:line="360" w:lineRule="auto"/>
        <w:rPr>
          <w:rFonts w:ascii="Calibri" w:hAnsi="Calibri" w:cs="Times New Roman"/>
          <w:b/>
        </w:rPr>
      </w:pPr>
      <w:r w:rsidRPr="006B738D">
        <w:rPr>
          <w:rFonts w:ascii="Calibri" w:hAnsi="Calibri" w:cs="Times New Roman"/>
          <w:b/>
        </w:rPr>
        <w:t>Cycle of infection:</w:t>
      </w:r>
    </w:p>
    <w:p w:rsidR="00E2758A" w:rsidRPr="006B738D" w:rsidRDefault="0038637D" w:rsidP="00845122">
      <w:pPr>
        <w:spacing w:after="120"/>
        <w:rPr>
          <w:rFonts w:ascii="Calibri" w:hAnsi="Calibri" w:cs="Times New Roman"/>
          <w:bCs/>
          <w:color w:val="000000"/>
        </w:rPr>
      </w:pPr>
      <w:r w:rsidRPr="006B738D">
        <w:rPr>
          <w:rFonts w:ascii="Calibri" w:hAnsi="Calibri" w:cs="Times New Roman"/>
          <w:bCs/>
          <w:color w:val="000000"/>
          <w:u w:val="single"/>
        </w:rPr>
        <w:t>Infectious Agent</w:t>
      </w:r>
      <w:r w:rsidRPr="006B738D">
        <w:rPr>
          <w:rFonts w:ascii="Calibri" w:hAnsi="Calibri" w:cs="Times New Roman"/>
          <w:bCs/>
          <w:color w:val="000000"/>
        </w:rPr>
        <w:t xml:space="preserve">: </w:t>
      </w:r>
      <w:r w:rsidR="009862BB" w:rsidRPr="006B738D">
        <w:rPr>
          <w:rFonts w:ascii="Calibri" w:hAnsi="Calibri" w:cs="Times New Roman"/>
          <w:bCs/>
          <w:color w:val="000000"/>
        </w:rPr>
        <w:t>A group of</w:t>
      </w:r>
      <w:r w:rsidR="009862BB" w:rsidRPr="006B738D">
        <w:rPr>
          <w:rFonts w:ascii="Calibri" w:hAnsi="Calibri" w:cs="Times New Roman"/>
          <w:color w:val="000000"/>
        </w:rPr>
        <w:t xml:space="preserve"> </w:t>
      </w:r>
      <w:r w:rsidR="009862BB" w:rsidRPr="006B738D">
        <w:rPr>
          <w:rFonts w:ascii="Calibri" w:hAnsi="Calibri" w:cs="Times New Roman"/>
          <w:bCs/>
          <w:color w:val="000000"/>
        </w:rPr>
        <w:t xml:space="preserve">rod-shaped bacteria known as: Mycobacterium tuberculosis complex. </w:t>
      </w:r>
      <w:r w:rsidRPr="006B738D">
        <w:rPr>
          <w:rFonts w:ascii="Calibri" w:hAnsi="Calibri" w:cs="Times New Roman"/>
          <w:bCs/>
          <w:color w:val="000000"/>
        </w:rPr>
        <w:t xml:space="preserve"> </w:t>
      </w:r>
    </w:p>
    <w:p w:rsidR="00043DD6" w:rsidRPr="006B738D" w:rsidRDefault="0038637D" w:rsidP="00744B2D">
      <w:pPr>
        <w:spacing w:after="120"/>
        <w:rPr>
          <w:rFonts w:ascii="Calibri" w:hAnsi="Calibri" w:cs="Times New Roman"/>
          <w:bCs/>
          <w:color w:val="000000"/>
        </w:rPr>
      </w:pPr>
      <w:r w:rsidRPr="006B738D">
        <w:rPr>
          <w:rFonts w:ascii="Calibri" w:hAnsi="Calibri" w:cs="Times New Roman"/>
          <w:bCs/>
          <w:color w:val="000000"/>
          <w:u w:val="single"/>
        </w:rPr>
        <w:t>Reservoir</w:t>
      </w:r>
      <w:r w:rsidRPr="006B738D">
        <w:rPr>
          <w:rFonts w:ascii="Calibri" w:hAnsi="Calibri" w:cs="Times New Roman"/>
          <w:bCs/>
          <w:color w:val="000000"/>
        </w:rPr>
        <w:t xml:space="preserve">: </w:t>
      </w:r>
      <w:r w:rsidR="00043DD6" w:rsidRPr="006B738D">
        <w:rPr>
          <w:rFonts w:ascii="Calibri" w:hAnsi="Calibri" w:cs="Times New Roman"/>
          <w:bCs/>
          <w:color w:val="000000"/>
        </w:rPr>
        <w:t xml:space="preserve">Any human infected with tuberculosis in his respiratory system, whether he has signs and symptoms of active TB disease or not. </w:t>
      </w:r>
    </w:p>
    <w:p w:rsidR="00043DD6" w:rsidRPr="006B738D" w:rsidRDefault="00043DD6" w:rsidP="00744B2D">
      <w:pPr>
        <w:spacing w:after="120"/>
        <w:rPr>
          <w:rFonts w:ascii="Calibri" w:hAnsi="Calibri" w:cs="Times New Roman"/>
          <w:bCs/>
          <w:color w:val="000000"/>
        </w:rPr>
      </w:pPr>
      <w:r w:rsidRPr="006B738D">
        <w:rPr>
          <w:rFonts w:ascii="Calibri" w:hAnsi="Calibri" w:cs="Times New Roman"/>
          <w:bCs/>
          <w:color w:val="000000"/>
        </w:rPr>
        <w:t>If the TB infection is latent, TB bacteria cannot spread to others, but if it becomes active, then it can spread and infect others.</w:t>
      </w:r>
    </w:p>
    <w:p w:rsidR="00E2758A" w:rsidRPr="006B738D" w:rsidRDefault="0038637D" w:rsidP="00845122">
      <w:pPr>
        <w:spacing w:after="120"/>
        <w:rPr>
          <w:rFonts w:ascii="Calibri" w:hAnsi="Calibri" w:cs="Times New Roman"/>
          <w:bCs/>
        </w:rPr>
      </w:pPr>
      <w:r w:rsidRPr="006B738D">
        <w:rPr>
          <w:rFonts w:ascii="Calibri" w:hAnsi="Calibri" w:cs="Times New Roman"/>
          <w:bCs/>
          <w:u w:val="single"/>
        </w:rPr>
        <w:t>Portal of exit</w:t>
      </w:r>
      <w:r w:rsidRPr="006B738D">
        <w:rPr>
          <w:rFonts w:ascii="Calibri" w:hAnsi="Calibri" w:cs="Times New Roman"/>
          <w:bCs/>
        </w:rPr>
        <w:t xml:space="preserve">: mouth and nose. </w:t>
      </w:r>
    </w:p>
    <w:p w:rsidR="00B958B0" w:rsidRPr="006B738D" w:rsidRDefault="00845122" w:rsidP="008E197C">
      <w:pPr>
        <w:spacing w:after="120"/>
        <w:rPr>
          <w:rFonts w:ascii="Calibri" w:hAnsi="Calibri" w:cs="Times New Roman"/>
          <w:bCs/>
        </w:rPr>
      </w:pPr>
      <w:r w:rsidRPr="006B738D">
        <w:rPr>
          <w:rFonts w:ascii="Calibri" w:hAnsi="Calibri" w:cs="Times New Roman"/>
          <w:bCs/>
          <w:u w:val="single"/>
        </w:rPr>
        <w:t>Mode of Transmission</w:t>
      </w:r>
      <w:r w:rsidRPr="006B738D">
        <w:rPr>
          <w:rFonts w:ascii="Calibri" w:hAnsi="Calibri" w:cs="Times New Roman"/>
          <w:bCs/>
        </w:rPr>
        <w:t>:</w:t>
      </w:r>
      <w:r w:rsidR="00E2758A" w:rsidRPr="006B738D">
        <w:rPr>
          <w:rFonts w:ascii="Calibri" w:hAnsi="Calibri" w:cs="Times New Roman"/>
          <w:bCs/>
        </w:rPr>
        <w:t xml:space="preserve"> </w:t>
      </w:r>
      <w:r w:rsidR="008E197C" w:rsidRPr="006B738D">
        <w:rPr>
          <w:rFonts w:ascii="Calibri" w:hAnsi="Calibri" w:cs="Times New Roman"/>
          <w:bCs/>
        </w:rPr>
        <w:t>TB bacilli</w:t>
      </w:r>
      <w:r w:rsidR="00B958B0" w:rsidRPr="006B738D">
        <w:rPr>
          <w:rFonts w:ascii="Calibri" w:hAnsi="Calibri" w:cs="Times New Roman"/>
          <w:bCs/>
        </w:rPr>
        <w:t xml:space="preserve"> spread from person to person in tiny microscopic droplets when a TB infected person coughs, sneezes, speaks, sings, or laughs.</w:t>
      </w:r>
      <w:r w:rsidR="00744B2D" w:rsidRPr="006B738D">
        <w:rPr>
          <w:rFonts w:ascii="Calibri" w:hAnsi="Calibri" w:cs="Times New Roman"/>
          <w:bCs/>
        </w:rPr>
        <w:t xml:space="preserve"> </w:t>
      </w:r>
      <w:r w:rsidR="00B958B0" w:rsidRPr="006B738D">
        <w:rPr>
          <w:rFonts w:ascii="Calibri" w:hAnsi="Calibri" w:cs="Times New Roman"/>
          <w:bCs/>
        </w:rPr>
        <w:t xml:space="preserve">Because the TB bacilli are resistant to environmental conditions, indirect droplet transmission is more effective in TB transmission than direct droplet modes. </w:t>
      </w:r>
    </w:p>
    <w:p w:rsidR="009862BB" w:rsidRPr="006B738D" w:rsidRDefault="008E197C" w:rsidP="008E197C">
      <w:pPr>
        <w:spacing w:after="120"/>
        <w:rPr>
          <w:rFonts w:ascii="Calibri" w:hAnsi="Calibri" w:cs="Times New Roman"/>
          <w:bCs/>
        </w:rPr>
      </w:pPr>
      <w:r w:rsidRPr="006B738D">
        <w:rPr>
          <w:rFonts w:ascii="Calibri" w:hAnsi="Calibri" w:cs="Times New Roman"/>
          <w:bCs/>
          <w:u w:val="single"/>
        </w:rPr>
        <w:t xml:space="preserve"> </w:t>
      </w:r>
      <w:r w:rsidR="009862BB" w:rsidRPr="006B738D">
        <w:rPr>
          <w:rFonts w:ascii="Calibri" w:hAnsi="Calibri" w:cs="Times New Roman"/>
          <w:u w:val="single"/>
        </w:rPr>
        <w:t>Portal of Entry</w:t>
      </w:r>
      <w:r w:rsidR="009862BB" w:rsidRPr="006B738D">
        <w:rPr>
          <w:rFonts w:ascii="Calibri" w:hAnsi="Calibri" w:cs="Times New Roman"/>
          <w:b/>
          <w:bCs/>
          <w:u w:val="single"/>
        </w:rPr>
        <w:t>:</w:t>
      </w:r>
      <w:r w:rsidR="00845122" w:rsidRPr="006B738D">
        <w:rPr>
          <w:rFonts w:ascii="Calibri" w:hAnsi="Calibri" w:cs="Times New Roman"/>
          <w:b/>
          <w:bCs/>
        </w:rPr>
        <w:t xml:space="preserve">  </w:t>
      </w:r>
      <w:r w:rsidR="009862BB" w:rsidRPr="006B738D">
        <w:rPr>
          <w:rFonts w:ascii="Calibri" w:eastAsia="Times New Roman" w:hAnsi="Calibri" w:cs="Times New Roman"/>
          <w:color w:val="000000"/>
          <w:shd w:val="clear" w:color="auto" w:fill="FFFFFF"/>
        </w:rPr>
        <w:t xml:space="preserve">portal of entry is </w:t>
      </w:r>
      <w:r w:rsidR="00845122" w:rsidRPr="006B738D">
        <w:rPr>
          <w:rFonts w:ascii="Calibri" w:eastAsia="Times New Roman" w:hAnsi="Calibri" w:cs="Times New Roman"/>
          <w:color w:val="000000"/>
          <w:shd w:val="clear" w:color="auto" w:fill="FFFFFF"/>
        </w:rPr>
        <w:t xml:space="preserve">the same as </w:t>
      </w:r>
      <w:r w:rsidR="009862BB" w:rsidRPr="006B738D">
        <w:rPr>
          <w:rFonts w:ascii="Calibri" w:eastAsia="Times New Roman" w:hAnsi="Calibri" w:cs="Times New Roman"/>
          <w:color w:val="000000"/>
          <w:shd w:val="clear" w:color="auto" w:fill="FFFFFF"/>
        </w:rPr>
        <w:t>portal of exit.</w:t>
      </w:r>
      <w:r w:rsidR="00845122" w:rsidRPr="006B738D">
        <w:rPr>
          <w:rFonts w:ascii="Calibri" w:eastAsia="Times New Roman" w:hAnsi="Calibri" w:cs="Times New Roman"/>
          <w:color w:val="000000"/>
          <w:shd w:val="clear" w:color="auto" w:fill="FFFFFF"/>
        </w:rPr>
        <w:t xml:space="preserve"> </w:t>
      </w:r>
      <w:r w:rsidR="009862BB" w:rsidRPr="006B738D">
        <w:rPr>
          <w:rFonts w:ascii="Calibri" w:hAnsi="Calibri" w:cs="Times New Roman"/>
          <w:u w:val="single"/>
        </w:rPr>
        <w:t>Susceptible Host</w:t>
      </w:r>
      <w:r w:rsidR="009862BB" w:rsidRPr="006B738D">
        <w:rPr>
          <w:rFonts w:ascii="Calibri" w:hAnsi="Calibri" w:cs="Times New Roman"/>
        </w:rPr>
        <w:t>:</w:t>
      </w:r>
      <w:r w:rsidR="00845122" w:rsidRPr="006B738D">
        <w:rPr>
          <w:rFonts w:ascii="Calibri" w:hAnsi="Calibri" w:cs="Times New Roman"/>
          <w:b/>
          <w:bCs/>
        </w:rPr>
        <w:t xml:space="preserve"> </w:t>
      </w:r>
      <w:r w:rsidR="009862BB" w:rsidRPr="006B738D">
        <w:rPr>
          <w:rFonts w:ascii="Calibri" w:hAnsi="Calibri" w:cs="Times New Roman"/>
          <w:bCs/>
        </w:rPr>
        <w:t>Everyone is at risk of getting pulmonary tuberculosis infection but the chance that someone could be infected raise in people with high risk factors as mentioned above.</w:t>
      </w:r>
    </w:p>
    <w:p w:rsidR="00F92901" w:rsidRPr="006B738D" w:rsidRDefault="00845122" w:rsidP="00845122">
      <w:pPr>
        <w:rPr>
          <w:rFonts w:ascii="Calibri" w:hAnsi="Calibri" w:cs="Times New Roman"/>
          <w:b/>
        </w:rPr>
      </w:pPr>
      <w:r w:rsidRPr="006B738D">
        <w:rPr>
          <w:rFonts w:ascii="Calibri" w:hAnsi="Calibri" w:cs="Times New Roman"/>
          <w:b/>
        </w:rPr>
        <w:t xml:space="preserve">Prevention &amp; </w:t>
      </w:r>
      <w:r w:rsidR="00F92901" w:rsidRPr="006B738D">
        <w:rPr>
          <w:rFonts w:ascii="Calibri" w:hAnsi="Calibri" w:cs="Times New Roman"/>
          <w:b/>
        </w:rPr>
        <w:t>Treatment:</w:t>
      </w:r>
    </w:p>
    <w:p w:rsidR="006D6CA0" w:rsidRPr="006B738D" w:rsidRDefault="006D6CA0" w:rsidP="00283BF5">
      <w:pPr>
        <w:rPr>
          <w:rFonts w:ascii="Calibri" w:hAnsi="Calibri" w:cs="Times New Roman"/>
        </w:rPr>
      </w:pPr>
      <w:r w:rsidRPr="006B738D">
        <w:rPr>
          <w:rFonts w:ascii="Calibri" w:hAnsi="Calibri" w:cs="Times New Roman"/>
        </w:rPr>
        <w:t xml:space="preserve">Globally by 2012, </w:t>
      </w:r>
      <w:r w:rsidR="00283BF5" w:rsidRPr="006B738D">
        <w:rPr>
          <w:rFonts w:ascii="Calibri" w:hAnsi="Calibri" w:cs="Times New Roman"/>
        </w:rPr>
        <w:t xml:space="preserve">though </w:t>
      </w:r>
      <w:r w:rsidRPr="006B738D">
        <w:rPr>
          <w:rFonts w:ascii="Calibri" w:hAnsi="Calibri" w:cs="Times New Roman"/>
        </w:rPr>
        <w:t xml:space="preserve">TB mortality rate had been reduced by </w:t>
      </w:r>
      <w:r w:rsidRPr="006B738D">
        <w:rPr>
          <w:rFonts w:ascii="Calibri" w:hAnsi="Calibri" w:cs="Times New Roman"/>
          <w:u w:val="single"/>
        </w:rPr>
        <w:t>45%</w:t>
      </w:r>
      <w:r w:rsidRPr="006B738D">
        <w:rPr>
          <w:rFonts w:ascii="Calibri" w:hAnsi="Calibri" w:cs="Times New Roman"/>
        </w:rPr>
        <w:t xml:space="preserve"> since 1990</w:t>
      </w:r>
      <w:r w:rsidR="00283BF5" w:rsidRPr="006B738D">
        <w:rPr>
          <w:rFonts w:ascii="Calibri" w:hAnsi="Calibri" w:cs="Times New Roman"/>
        </w:rPr>
        <w:t>, still it is among the major public health problem across many countries and regions</w:t>
      </w:r>
      <w:r w:rsidRPr="006B738D">
        <w:rPr>
          <w:rFonts w:ascii="Calibri" w:hAnsi="Calibri" w:cs="Times New Roman"/>
        </w:rPr>
        <w:t xml:space="preserve">. </w:t>
      </w:r>
      <w:r w:rsidRPr="006B738D">
        <w:rPr>
          <w:rFonts w:ascii="Calibri" w:hAnsi="Calibri"/>
        </w:rPr>
        <w:t>TB is often diagnosed and treated late. In order to reach the unreached and to find TB patients early in the course of their illness, a wider range of stakeholders (health care providers, community groups, community, public health departments infection control) need to be engaged.</w:t>
      </w:r>
      <w:r w:rsidR="00283BF5" w:rsidRPr="006B738D">
        <w:rPr>
          <w:rFonts w:ascii="Calibri" w:hAnsi="Calibri"/>
        </w:rPr>
        <w:t xml:space="preserve"> </w:t>
      </w:r>
    </w:p>
    <w:p w:rsidR="00A64233" w:rsidRPr="006B738D" w:rsidRDefault="00A64233" w:rsidP="00845122">
      <w:pPr>
        <w:rPr>
          <w:rFonts w:ascii="Calibri" w:hAnsi="Calibri" w:cs="Times New Roman"/>
        </w:rPr>
      </w:pPr>
      <w:r w:rsidRPr="006B738D">
        <w:rPr>
          <w:rFonts w:ascii="Calibri" w:hAnsi="Calibri" w:cs="Times New Roman"/>
        </w:rPr>
        <w:t>WHO has developed a new six point “Stop TB Strategy” which aims to reduce the global burden of TB by 2015</w:t>
      </w:r>
      <w:r w:rsidR="00845122" w:rsidRPr="006B738D">
        <w:rPr>
          <w:rFonts w:ascii="Calibri" w:hAnsi="Calibri" w:cs="Times New Roman"/>
        </w:rPr>
        <w:t xml:space="preserve">. </w:t>
      </w:r>
      <w:r w:rsidRPr="006B738D">
        <w:rPr>
          <w:rFonts w:ascii="Calibri" w:hAnsi="Calibri" w:cs="Times New Roman"/>
        </w:rPr>
        <w:t>The six Points are as follows:</w:t>
      </w:r>
    </w:p>
    <w:p w:rsidR="00A64233" w:rsidRPr="006B738D" w:rsidRDefault="00A64233" w:rsidP="00B958B0">
      <w:pPr>
        <w:numPr>
          <w:ilvl w:val="0"/>
          <w:numId w:val="9"/>
        </w:numPr>
        <w:rPr>
          <w:rFonts w:ascii="Calibri" w:hAnsi="Calibri" w:cs="Times New Roman"/>
        </w:rPr>
      </w:pPr>
      <w:r w:rsidRPr="006B738D">
        <w:rPr>
          <w:rFonts w:ascii="Calibri" w:hAnsi="Calibri" w:cs="Times New Roman"/>
        </w:rPr>
        <w:t>Pursue high-quality DOTS expansion and enhancement.</w:t>
      </w:r>
    </w:p>
    <w:p w:rsidR="00845122" w:rsidRPr="006B738D" w:rsidRDefault="00A64233" w:rsidP="00B958B0">
      <w:pPr>
        <w:numPr>
          <w:ilvl w:val="0"/>
          <w:numId w:val="9"/>
        </w:numPr>
        <w:rPr>
          <w:rFonts w:ascii="Calibri" w:hAnsi="Calibri" w:cs="Times New Roman"/>
        </w:rPr>
      </w:pPr>
      <w:r w:rsidRPr="006B738D">
        <w:rPr>
          <w:rFonts w:ascii="Calibri" w:hAnsi="Calibri" w:cs="Times New Roman"/>
        </w:rPr>
        <w:t>Address TB-HIV, M</w:t>
      </w:r>
      <w:r w:rsidR="00845122" w:rsidRPr="006B738D">
        <w:rPr>
          <w:rFonts w:ascii="Calibri" w:hAnsi="Calibri" w:cs="Times New Roman"/>
        </w:rPr>
        <w:t xml:space="preserve">ulti Drug Resistant </w:t>
      </w:r>
      <w:r w:rsidRPr="006B738D">
        <w:rPr>
          <w:rFonts w:ascii="Calibri" w:hAnsi="Calibri" w:cs="Times New Roman"/>
        </w:rPr>
        <w:t xml:space="preserve">-TB, and the needs of poor and vulnerable populations. </w:t>
      </w:r>
    </w:p>
    <w:p w:rsidR="00A64233" w:rsidRPr="006B738D" w:rsidRDefault="00A64233" w:rsidP="00B958B0">
      <w:pPr>
        <w:numPr>
          <w:ilvl w:val="0"/>
          <w:numId w:val="9"/>
        </w:numPr>
        <w:rPr>
          <w:rFonts w:ascii="Calibri" w:hAnsi="Calibri" w:cs="Times New Roman"/>
        </w:rPr>
      </w:pPr>
      <w:r w:rsidRPr="006B738D">
        <w:rPr>
          <w:rFonts w:ascii="Calibri" w:hAnsi="Calibri" w:cs="Times New Roman"/>
        </w:rPr>
        <w:t>Contribute to health system strengthening based on primary health care.</w:t>
      </w:r>
    </w:p>
    <w:p w:rsidR="00A64233" w:rsidRPr="006B738D" w:rsidRDefault="00A64233" w:rsidP="00B958B0">
      <w:pPr>
        <w:numPr>
          <w:ilvl w:val="0"/>
          <w:numId w:val="9"/>
        </w:numPr>
        <w:rPr>
          <w:rFonts w:ascii="Calibri" w:hAnsi="Calibri" w:cs="Times New Roman"/>
        </w:rPr>
      </w:pPr>
      <w:r w:rsidRPr="006B738D">
        <w:rPr>
          <w:rFonts w:ascii="Calibri" w:hAnsi="Calibri" w:cs="Times New Roman"/>
        </w:rPr>
        <w:t>Engage all care providers.</w:t>
      </w:r>
    </w:p>
    <w:p w:rsidR="00A64233" w:rsidRPr="006B738D" w:rsidRDefault="00A64233" w:rsidP="00B958B0">
      <w:pPr>
        <w:numPr>
          <w:ilvl w:val="0"/>
          <w:numId w:val="9"/>
        </w:numPr>
        <w:rPr>
          <w:rFonts w:ascii="Calibri" w:hAnsi="Calibri" w:cs="Times New Roman"/>
        </w:rPr>
      </w:pPr>
      <w:r w:rsidRPr="006B738D">
        <w:rPr>
          <w:rFonts w:ascii="Calibri" w:hAnsi="Calibri" w:cs="Times New Roman"/>
        </w:rPr>
        <w:t>Empower people with TB, and communities through partnership.</w:t>
      </w:r>
    </w:p>
    <w:p w:rsidR="00A64233" w:rsidRPr="006B738D" w:rsidRDefault="00A64233" w:rsidP="00B958B0">
      <w:pPr>
        <w:numPr>
          <w:ilvl w:val="0"/>
          <w:numId w:val="9"/>
        </w:numPr>
        <w:rPr>
          <w:rFonts w:ascii="Calibri" w:hAnsi="Calibri" w:cs="Times New Roman"/>
        </w:rPr>
      </w:pPr>
      <w:r w:rsidRPr="006B738D">
        <w:rPr>
          <w:rFonts w:ascii="Calibri" w:hAnsi="Calibri" w:cs="Times New Roman"/>
        </w:rPr>
        <w:t>Enable and promote research.</w:t>
      </w:r>
    </w:p>
    <w:p w:rsidR="00A64233" w:rsidRPr="006B738D" w:rsidRDefault="00A64233" w:rsidP="00A64233">
      <w:pPr>
        <w:rPr>
          <w:rFonts w:ascii="Calibri" w:hAnsi="Calibri" w:cs="Times New Roman"/>
        </w:rPr>
      </w:pPr>
    </w:p>
    <w:p w:rsidR="00845122" w:rsidRPr="006B738D" w:rsidRDefault="00A64233" w:rsidP="00283BF5">
      <w:pPr>
        <w:rPr>
          <w:rFonts w:ascii="Calibri" w:hAnsi="Calibri"/>
        </w:rPr>
      </w:pPr>
      <w:r w:rsidRPr="006B738D">
        <w:rPr>
          <w:rFonts w:ascii="Calibri" w:hAnsi="Calibri" w:cs="Times New Roman"/>
        </w:rPr>
        <w:t xml:space="preserve">DOTS (Direct Observation Treatment Short-course) remains at the heart of the “Stop TB Strategy”. </w:t>
      </w:r>
      <w:r w:rsidR="00845122" w:rsidRPr="006B738D">
        <w:rPr>
          <w:rFonts w:ascii="Calibri" w:hAnsi="Calibri" w:cs="Times New Roman"/>
        </w:rPr>
        <w:t xml:space="preserve">DOTS require political commitment and </w:t>
      </w:r>
      <w:r w:rsidRPr="006B738D">
        <w:rPr>
          <w:rFonts w:ascii="Calibri" w:hAnsi="Calibri" w:cs="Times New Roman"/>
        </w:rPr>
        <w:t>sustained financing</w:t>
      </w:r>
      <w:r w:rsidR="00845122" w:rsidRPr="006B738D">
        <w:rPr>
          <w:rFonts w:ascii="Calibri" w:hAnsi="Calibri" w:cs="Times New Roman"/>
        </w:rPr>
        <w:t xml:space="preserve">, case detection </w:t>
      </w:r>
      <w:r w:rsidRPr="006B738D">
        <w:rPr>
          <w:rFonts w:ascii="Calibri" w:hAnsi="Calibri" w:cs="Times New Roman"/>
        </w:rPr>
        <w:t>through quality bacteriology</w:t>
      </w:r>
      <w:r w:rsidR="00845122" w:rsidRPr="006B738D">
        <w:rPr>
          <w:rFonts w:ascii="Calibri" w:hAnsi="Calibri" w:cs="Times New Roman"/>
        </w:rPr>
        <w:t>, s</w:t>
      </w:r>
      <w:r w:rsidRPr="006B738D">
        <w:rPr>
          <w:rFonts w:ascii="Calibri" w:hAnsi="Calibri" w:cs="Times New Roman"/>
        </w:rPr>
        <w:t>tandardized treatment with supervision and patient support</w:t>
      </w:r>
      <w:r w:rsidR="00845122" w:rsidRPr="006B738D">
        <w:rPr>
          <w:rFonts w:ascii="Calibri" w:hAnsi="Calibri" w:cs="Times New Roman"/>
        </w:rPr>
        <w:t>, e</w:t>
      </w:r>
      <w:r w:rsidRPr="006B738D">
        <w:rPr>
          <w:rFonts w:ascii="Calibri" w:hAnsi="Calibri" w:cs="Times New Roman"/>
        </w:rPr>
        <w:t>ffective drug supply</w:t>
      </w:r>
      <w:r w:rsidR="00845122" w:rsidRPr="006B738D">
        <w:rPr>
          <w:rFonts w:ascii="Calibri" w:hAnsi="Calibri" w:cs="Times New Roman"/>
        </w:rPr>
        <w:t>, and m</w:t>
      </w:r>
      <w:r w:rsidRPr="006B738D">
        <w:rPr>
          <w:rFonts w:ascii="Calibri" w:hAnsi="Calibri" w:cs="Times New Roman"/>
        </w:rPr>
        <w:t>onitoring and evaluation system</w:t>
      </w:r>
      <w:r w:rsidR="00845122" w:rsidRPr="006B738D">
        <w:rPr>
          <w:rFonts w:ascii="Calibri" w:hAnsi="Calibri" w:cs="Times New Roman"/>
        </w:rPr>
        <w:t xml:space="preserve">. TB treatment involves four drug  (INH, Rifampin, Pyrazinamide, Ethambutol or Streptomycin) for two months and the next four months </w:t>
      </w:r>
      <w:r w:rsidR="008211CB" w:rsidRPr="006B738D">
        <w:rPr>
          <w:rFonts w:ascii="Calibri" w:hAnsi="Calibri"/>
        </w:rPr>
        <w:t>continue treatment with INH and Rifampin</w:t>
      </w:r>
    </w:p>
    <w:p w:rsidR="00283BF5" w:rsidRPr="006B738D" w:rsidRDefault="00283BF5" w:rsidP="00283BF5">
      <w:pPr>
        <w:rPr>
          <w:rFonts w:ascii="Calibri" w:hAnsi="Calibri"/>
        </w:rPr>
      </w:pPr>
    </w:p>
    <w:p w:rsidR="004B0372" w:rsidRPr="006B738D" w:rsidRDefault="00283BF5" w:rsidP="006B738D">
      <w:pPr>
        <w:rPr>
          <w:rFonts w:ascii="Calibri" w:eastAsia="Calibri" w:hAnsi="Calibri" w:cs="Times New Roman"/>
          <w:b/>
          <w:bCs/>
        </w:rPr>
      </w:pPr>
      <w:r w:rsidRPr="006B738D">
        <w:rPr>
          <w:rFonts w:ascii="Calibri" w:eastAsia="Calibri" w:hAnsi="Calibri" w:cs="Times New Roman"/>
        </w:rPr>
        <w:t>Primary Prevention: involves targeting</w:t>
      </w:r>
      <w:r w:rsidR="004B0372" w:rsidRPr="006B738D">
        <w:rPr>
          <w:rFonts w:ascii="Calibri" w:eastAsia="Calibri" w:hAnsi="Calibri" w:cs="Times New Roman"/>
        </w:rPr>
        <w:t xml:space="preserve"> asymptomatic people in order to determine risk factors that might cause the disease and aim to prevent the developing of symptoms by arresting the pathologic process before it starts.</w:t>
      </w:r>
      <w:r w:rsidRPr="006B738D">
        <w:rPr>
          <w:rFonts w:ascii="Calibri" w:eastAsia="Calibri" w:hAnsi="Calibri" w:cs="Times New Roman"/>
        </w:rPr>
        <w:t xml:space="preserve"> Primary prevention is achieved by health education and awareness, and BCG vaccination for children. </w:t>
      </w:r>
      <w:r w:rsidR="004B0372" w:rsidRPr="006B738D">
        <w:rPr>
          <w:rFonts w:ascii="Calibri" w:eastAsia="Calibri" w:hAnsi="Calibri" w:cs="Times New Roman"/>
        </w:rPr>
        <w:t xml:space="preserve"> </w:t>
      </w:r>
      <w:r w:rsidRPr="006B738D">
        <w:rPr>
          <w:rFonts w:ascii="Calibri" w:eastAsia="Calibri" w:hAnsi="Calibri" w:cs="Times New Roman"/>
        </w:rPr>
        <w:t>Secondary Prevention aims to improve the situation in terms of early identification, treatment, prognosis. Secondary prevention requires effective treatment. Tertiary prevention is to provide effective treatment and avoid complications due to advanced stage. Tertiary may require surgery and rehabilitation.</w:t>
      </w:r>
    </w:p>
    <w:sectPr w:rsidR="004B0372" w:rsidRPr="006B738D" w:rsidSect="00283BF5">
      <w:type w:val="continuous"/>
      <w:pgSz w:w="11900" w:h="16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0B1" w:rsidRDefault="001E40B1" w:rsidP="00007331">
      <w:r>
        <w:separator/>
      </w:r>
    </w:p>
  </w:endnote>
  <w:endnote w:type="continuationSeparator" w:id="1">
    <w:p w:rsidR="001E40B1" w:rsidRDefault="001E40B1" w:rsidP="0000733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dobe نسخ Medium">
    <w:altName w:val="Arial"/>
    <w:panose1 w:val="00000000000000000000"/>
    <w:charset w:val="00"/>
    <w:family w:val="modern"/>
    <w:notTrueType/>
    <w:pitch w:val="variable"/>
    <w:sig w:usb0="00000000" w:usb1="00000000" w:usb2="00000000" w:usb3="00000000" w:csb0="00000041" w:csb1="00000000"/>
  </w:font>
  <w:font w:name="VialogLTCom-Light">
    <w:altName w:val="Arial"/>
    <w:panose1 w:val="00000000000000000000"/>
    <w:charset w:val="00"/>
    <w:family w:val="swiss"/>
    <w:notTrueType/>
    <w:pitch w:val="default"/>
    <w:sig w:usb0="00000003" w:usb1="00000000" w:usb2="00000000" w:usb3="00000000" w:csb0="00000001" w:csb1="00000000"/>
  </w:font>
  <w:font w:name="ChaparralPro-Regular">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0B1" w:rsidRDefault="001E40B1" w:rsidP="00007331">
      <w:r>
        <w:separator/>
      </w:r>
    </w:p>
  </w:footnote>
  <w:footnote w:type="continuationSeparator" w:id="1">
    <w:p w:rsidR="001E40B1" w:rsidRDefault="001E40B1" w:rsidP="000073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5FE"/>
    <w:multiLevelType w:val="hybridMultilevel"/>
    <w:tmpl w:val="5C1C2192"/>
    <w:lvl w:ilvl="0" w:tplc="6396CA58">
      <w:start w:val="1"/>
      <w:numFmt w:val="bullet"/>
      <w:lvlText w:val="•"/>
      <w:lvlJc w:val="left"/>
      <w:pPr>
        <w:tabs>
          <w:tab w:val="num" w:pos="720"/>
        </w:tabs>
        <w:ind w:left="720" w:hanging="360"/>
      </w:pPr>
      <w:rPr>
        <w:rFonts w:ascii="Arial" w:hAnsi="Arial" w:hint="default"/>
      </w:rPr>
    </w:lvl>
    <w:lvl w:ilvl="1" w:tplc="0FC8AD12" w:tentative="1">
      <w:start w:val="1"/>
      <w:numFmt w:val="bullet"/>
      <w:lvlText w:val="•"/>
      <w:lvlJc w:val="left"/>
      <w:pPr>
        <w:tabs>
          <w:tab w:val="num" w:pos="1440"/>
        </w:tabs>
        <w:ind w:left="1440" w:hanging="360"/>
      </w:pPr>
      <w:rPr>
        <w:rFonts w:ascii="Arial" w:hAnsi="Arial" w:hint="default"/>
      </w:rPr>
    </w:lvl>
    <w:lvl w:ilvl="2" w:tplc="0A501748" w:tentative="1">
      <w:start w:val="1"/>
      <w:numFmt w:val="bullet"/>
      <w:lvlText w:val="•"/>
      <w:lvlJc w:val="left"/>
      <w:pPr>
        <w:tabs>
          <w:tab w:val="num" w:pos="2160"/>
        </w:tabs>
        <w:ind w:left="2160" w:hanging="360"/>
      </w:pPr>
      <w:rPr>
        <w:rFonts w:ascii="Arial" w:hAnsi="Arial" w:hint="default"/>
      </w:rPr>
    </w:lvl>
    <w:lvl w:ilvl="3" w:tplc="68120520" w:tentative="1">
      <w:start w:val="1"/>
      <w:numFmt w:val="bullet"/>
      <w:lvlText w:val="•"/>
      <w:lvlJc w:val="left"/>
      <w:pPr>
        <w:tabs>
          <w:tab w:val="num" w:pos="2880"/>
        </w:tabs>
        <w:ind w:left="2880" w:hanging="360"/>
      </w:pPr>
      <w:rPr>
        <w:rFonts w:ascii="Arial" w:hAnsi="Arial" w:hint="default"/>
      </w:rPr>
    </w:lvl>
    <w:lvl w:ilvl="4" w:tplc="D8DC010C" w:tentative="1">
      <w:start w:val="1"/>
      <w:numFmt w:val="bullet"/>
      <w:lvlText w:val="•"/>
      <w:lvlJc w:val="left"/>
      <w:pPr>
        <w:tabs>
          <w:tab w:val="num" w:pos="3600"/>
        </w:tabs>
        <w:ind w:left="3600" w:hanging="360"/>
      </w:pPr>
      <w:rPr>
        <w:rFonts w:ascii="Arial" w:hAnsi="Arial" w:hint="default"/>
      </w:rPr>
    </w:lvl>
    <w:lvl w:ilvl="5" w:tplc="7ED4FE8E" w:tentative="1">
      <w:start w:val="1"/>
      <w:numFmt w:val="bullet"/>
      <w:lvlText w:val="•"/>
      <w:lvlJc w:val="left"/>
      <w:pPr>
        <w:tabs>
          <w:tab w:val="num" w:pos="4320"/>
        </w:tabs>
        <w:ind w:left="4320" w:hanging="360"/>
      </w:pPr>
      <w:rPr>
        <w:rFonts w:ascii="Arial" w:hAnsi="Arial" w:hint="default"/>
      </w:rPr>
    </w:lvl>
    <w:lvl w:ilvl="6" w:tplc="2BFCCF0E" w:tentative="1">
      <w:start w:val="1"/>
      <w:numFmt w:val="bullet"/>
      <w:lvlText w:val="•"/>
      <w:lvlJc w:val="left"/>
      <w:pPr>
        <w:tabs>
          <w:tab w:val="num" w:pos="5040"/>
        </w:tabs>
        <w:ind w:left="5040" w:hanging="360"/>
      </w:pPr>
      <w:rPr>
        <w:rFonts w:ascii="Arial" w:hAnsi="Arial" w:hint="default"/>
      </w:rPr>
    </w:lvl>
    <w:lvl w:ilvl="7" w:tplc="CD2241DA" w:tentative="1">
      <w:start w:val="1"/>
      <w:numFmt w:val="bullet"/>
      <w:lvlText w:val="•"/>
      <w:lvlJc w:val="left"/>
      <w:pPr>
        <w:tabs>
          <w:tab w:val="num" w:pos="5760"/>
        </w:tabs>
        <w:ind w:left="5760" w:hanging="360"/>
      </w:pPr>
      <w:rPr>
        <w:rFonts w:ascii="Arial" w:hAnsi="Arial" w:hint="default"/>
      </w:rPr>
    </w:lvl>
    <w:lvl w:ilvl="8" w:tplc="A5867A0E" w:tentative="1">
      <w:start w:val="1"/>
      <w:numFmt w:val="bullet"/>
      <w:lvlText w:val="•"/>
      <w:lvlJc w:val="left"/>
      <w:pPr>
        <w:tabs>
          <w:tab w:val="num" w:pos="6480"/>
        </w:tabs>
        <w:ind w:left="6480" w:hanging="360"/>
      </w:pPr>
      <w:rPr>
        <w:rFonts w:ascii="Arial" w:hAnsi="Arial" w:hint="default"/>
      </w:rPr>
    </w:lvl>
  </w:abstractNum>
  <w:abstractNum w:abstractNumId="1">
    <w:nsid w:val="0DCC73C6"/>
    <w:multiLevelType w:val="hybridMultilevel"/>
    <w:tmpl w:val="95463782"/>
    <w:lvl w:ilvl="0" w:tplc="B0F06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55C52"/>
    <w:multiLevelType w:val="hybridMultilevel"/>
    <w:tmpl w:val="F412E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4F7112"/>
    <w:multiLevelType w:val="hybridMultilevel"/>
    <w:tmpl w:val="17A45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465771"/>
    <w:multiLevelType w:val="hybridMultilevel"/>
    <w:tmpl w:val="36C21530"/>
    <w:lvl w:ilvl="0" w:tplc="45E853D2">
      <w:start w:val="1"/>
      <w:numFmt w:val="bullet"/>
      <w:lvlText w:val=""/>
      <w:lvlJc w:val="left"/>
      <w:pPr>
        <w:ind w:left="501"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C4F695D"/>
    <w:multiLevelType w:val="hybridMultilevel"/>
    <w:tmpl w:val="D80037AC"/>
    <w:lvl w:ilvl="0" w:tplc="B0F06D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4644C"/>
    <w:multiLevelType w:val="hybridMultilevel"/>
    <w:tmpl w:val="134E0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8121BE1"/>
    <w:multiLevelType w:val="hybridMultilevel"/>
    <w:tmpl w:val="62DAE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015C4F"/>
    <w:multiLevelType w:val="hybridMultilevel"/>
    <w:tmpl w:val="F9524C66"/>
    <w:lvl w:ilvl="0" w:tplc="B0F06D88">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75564660"/>
    <w:multiLevelType w:val="hybridMultilevel"/>
    <w:tmpl w:val="2AF0C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EE43426"/>
    <w:multiLevelType w:val="hybridMultilevel"/>
    <w:tmpl w:val="B3F43576"/>
    <w:lvl w:ilvl="0" w:tplc="03E6F722">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9"/>
  </w:num>
  <w:num w:numId="4">
    <w:abstractNumId w:val="4"/>
  </w:num>
  <w:num w:numId="5">
    <w:abstractNumId w:val="1"/>
  </w:num>
  <w:num w:numId="6">
    <w:abstractNumId w:val="8"/>
  </w:num>
  <w:num w:numId="7">
    <w:abstractNumId w:val="5"/>
  </w:num>
  <w:num w:numId="8">
    <w:abstractNumId w:val="10"/>
  </w:num>
  <w:num w:numId="9">
    <w:abstractNumId w:val="7"/>
  </w:num>
  <w:num w:numId="10">
    <w:abstractNumId w:val="6"/>
  </w:num>
  <w:num w:numId="11">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F92901"/>
    <w:rsid w:val="00007331"/>
    <w:rsid w:val="00031FF5"/>
    <w:rsid w:val="00043DD6"/>
    <w:rsid w:val="0008098A"/>
    <w:rsid w:val="00082F45"/>
    <w:rsid w:val="000903BA"/>
    <w:rsid w:val="001C2449"/>
    <w:rsid w:val="001E1A6A"/>
    <w:rsid w:val="001E40B1"/>
    <w:rsid w:val="001E6E6C"/>
    <w:rsid w:val="00240374"/>
    <w:rsid w:val="002603E9"/>
    <w:rsid w:val="00283BF5"/>
    <w:rsid w:val="002B7678"/>
    <w:rsid w:val="002C3551"/>
    <w:rsid w:val="002F2FC2"/>
    <w:rsid w:val="00324ED6"/>
    <w:rsid w:val="00355264"/>
    <w:rsid w:val="0038637D"/>
    <w:rsid w:val="00393D20"/>
    <w:rsid w:val="00395DF7"/>
    <w:rsid w:val="003B713B"/>
    <w:rsid w:val="00467424"/>
    <w:rsid w:val="004B0372"/>
    <w:rsid w:val="004D1484"/>
    <w:rsid w:val="004F1C56"/>
    <w:rsid w:val="00577B3A"/>
    <w:rsid w:val="005A1F98"/>
    <w:rsid w:val="005B2C14"/>
    <w:rsid w:val="005E2AC9"/>
    <w:rsid w:val="00685CD2"/>
    <w:rsid w:val="006959AB"/>
    <w:rsid w:val="006B69D4"/>
    <w:rsid w:val="006B738D"/>
    <w:rsid w:val="006D6CA0"/>
    <w:rsid w:val="00717146"/>
    <w:rsid w:val="007259C2"/>
    <w:rsid w:val="00744B2D"/>
    <w:rsid w:val="00765848"/>
    <w:rsid w:val="007F78AA"/>
    <w:rsid w:val="008211CB"/>
    <w:rsid w:val="00845122"/>
    <w:rsid w:val="00867863"/>
    <w:rsid w:val="008A387D"/>
    <w:rsid w:val="008E197C"/>
    <w:rsid w:val="00901DC4"/>
    <w:rsid w:val="00975628"/>
    <w:rsid w:val="009862BB"/>
    <w:rsid w:val="009A0031"/>
    <w:rsid w:val="009C685F"/>
    <w:rsid w:val="00A12F55"/>
    <w:rsid w:val="00A64233"/>
    <w:rsid w:val="00AB77FB"/>
    <w:rsid w:val="00B37D9F"/>
    <w:rsid w:val="00B755DD"/>
    <w:rsid w:val="00B769D3"/>
    <w:rsid w:val="00B958B0"/>
    <w:rsid w:val="00BF0A6C"/>
    <w:rsid w:val="00BF3F78"/>
    <w:rsid w:val="00C34993"/>
    <w:rsid w:val="00C700A7"/>
    <w:rsid w:val="00C831BC"/>
    <w:rsid w:val="00D80EC0"/>
    <w:rsid w:val="00D961AF"/>
    <w:rsid w:val="00DA32E1"/>
    <w:rsid w:val="00E2758A"/>
    <w:rsid w:val="00E4252A"/>
    <w:rsid w:val="00E52BB2"/>
    <w:rsid w:val="00EE3254"/>
    <w:rsid w:val="00F177F8"/>
    <w:rsid w:val="00F92901"/>
    <w:rsid w:val="00FE16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901"/>
    <w:rPr>
      <w:sz w:val="24"/>
      <w:szCs w:val="24"/>
    </w:rPr>
  </w:style>
  <w:style w:type="paragraph" w:styleId="2">
    <w:name w:val="heading 2"/>
    <w:basedOn w:val="a"/>
    <w:next w:val="a"/>
    <w:link w:val="2Char"/>
    <w:uiPriority w:val="9"/>
    <w:unhideWhenUsed/>
    <w:qFormat/>
    <w:rsid w:val="00685CD2"/>
    <w:pPr>
      <w:keepNext/>
      <w:keepLines/>
      <w:spacing w:before="200" w:line="276" w:lineRule="auto"/>
      <w:outlineLvl w:val="1"/>
    </w:pPr>
    <w:rPr>
      <w:rFonts w:ascii="Calibri" w:eastAsia="MS Gothic" w:hAnsi="Calibri" w:cs="Times New Roman"/>
      <w:b/>
      <w:bCs/>
      <w:color w:val="4F81BD"/>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7F8"/>
    <w:pPr>
      <w:ind w:left="720"/>
      <w:contextualSpacing/>
    </w:pPr>
  </w:style>
  <w:style w:type="paragraph" w:styleId="a4">
    <w:name w:val="footnote text"/>
    <w:basedOn w:val="a"/>
    <w:link w:val="Char"/>
    <w:uiPriority w:val="99"/>
    <w:unhideWhenUsed/>
    <w:rsid w:val="00007331"/>
  </w:style>
  <w:style w:type="character" w:customStyle="1" w:styleId="Char">
    <w:name w:val="نص حاشية سفلية Char"/>
    <w:basedOn w:val="a0"/>
    <w:link w:val="a4"/>
    <w:uiPriority w:val="99"/>
    <w:rsid w:val="00007331"/>
  </w:style>
  <w:style w:type="character" w:styleId="a5">
    <w:name w:val="footnote reference"/>
    <w:basedOn w:val="a0"/>
    <w:uiPriority w:val="99"/>
    <w:unhideWhenUsed/>
    <w:rsid w:val="00007331"/>
    <w:rPr>
      <w:vertAlign w:val="superscript"/>
    </w:rPr>
  </w:style>
  <w:style w:type="character" w:customStyle="1" w:styleId="apple-converted-space">
    <w:name w:val="apple-converted-space"/>
    <w:basedOn w:val="a0"/>
    <w:rsid w:val="00717146"/>
  </w:style>
  <w:style w:type="character" w:styleId="Hyperlink">
    <w:name w:val="Hyperlink"/>
    <w:basedOn w:val="a0"/>
    <w:uiPriority w:val="99"/>
    <w:unhideWhenUsed/>
    <w:rsid w:val="005A1F98"/>
    <w:rPr>
      <w:color w:val="0000FF"/>
      <w:u w:val="single"/>
    </w:rPr>
  </w:style>
  <w:style w:type="paragraph" w:customStyle="1" w:styleId="Body">
    <w:name w:val="Body"/>
    <w:rsid w:val="00467424"/>
    <w:rPr>
      <w:rFonts w:ascii="Helvetica" w:eastAsia="ヒラギノ角ゴ Pro W3" w:hAnsi="Helvetica" w:cs="Times New Roman"/>
      <w:color w:val="000000"/>
      <w:sz w:val="24"/>
    </w:rPr>
  </w:style>
  <w:style w:type="paragraph" w:customStyle="1" w:styleId="FreeForm">
    <w:name w:val="Free Form"/>
    <w:rsid w:val="00467424"/>
    <w:rPr>
      <w:rFonts w:ascii="Helvetica" w:eastAsia="ヒラギノ角ゴ Pro W3" w:hAnsi="Helvetica" w:cs="Times New Roman"/>
      <w:color w:val="000000"/>
      <w:sz w:val="24"/>
    </w:rPr>
  </w:style>
  <w:style w:type="table" w:styleId="a6">
    <w:name w:val="Table Grid"/>
    <w:basedOn w:val="a1"/>
    <w:uiPriority w:val="59"/>
    <w:rsid w:val="005B2C14"/>
    <w:rPr>
      <w:rFonts w:eastAsia="Cambr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semiHidden/>
    <w:unhideWhenUsed/>
    <w:rsid w:val="005B2C14"/>
    <w:rPr>
      <w:rFonts w:ascii="Lucida Grande" w:hAnsi="Lucida Grande" w:cs="Lucida Grande"/>
      <w:sz w:val="18"/>
      <w:szCs w:val="18"/>
    </w:rPr>
  </w:style>
  <w:style w:type="character" w:customStyle="1" w:styleId="Char0">
    <w:name w:val="نص في بالون Char"/>
    <w:basedOn w:val="a0"/>
    <w:link w:val="a7"/>
    <w:uiPriority w:val="99"/>
    <w:semiHidden/>
    <w:rsid w:val="005B2C14"/>
    <w:rPr>
      <w:rFonts w:ascii="Lucida Grande" w:hAnsi="Lucida Grande" w:cs="Lucida Grande"/>
      <w:sz w:val="18"/>
      <w:szCs w:val="18"/>
    </w:rPr>
  </w:style>
  <w:style w:type="character" w:customStyle="1" w:styleId="citation">
    <w:name w:val="citation"/>
    <w:basedOn w:val="a0"/>
    <w:rsid w:val="005B2C14"/>
  </w:style>
  <w:style w:type="character" w:customStyle="1" w:styleId="reference-accessdate">
    <w:name w:val="reference-accessdate"/>
    <w:basedOn w:val="a0"/>
    <w:rsid w:val="005B2C14"/>
  </w:style>
  <w:style w:type="character" w:customStyle="1" w:styleId="ref-journal">
    <w:name w:val="ref-journal"/>
    <w:basedOn w:val="a0"/>
    <w:rsid w:val="005B2C14"/>
  </w:style>
  <w:style w:type="character" w:customStyle="1" w:styleId="2Char">
    <w:name w:val="عنوان 2 Char"/>
    <w:basedOn w:val="a0"/>
    <w:link w:val="2"/>
    <w:uiPriority w:val="9"/>
    <w:rsid w:val="00685CD2"/>
    <w:rPr>
      <w:rFonts w:ascii="Calibri" w:eastAsia="MS Gothic" w:hAnsi="Calibri" w:cs="Times New Roman"/>
      <w:b/>
      <w:bCs/>
      <w:color w:val="4F81BD"/>
      <w:sz w:val="26"/>
      <w:szCs w:val="26"/>
    </w:rPr>
  </w:style>
  <w:style w:type="character" w:styleId="a8">
    <w:name w:val="FollowedHyperlink"/>
    <w:basedOn w:val="a0"/>
    <w:uiPriority w:val="99"/>
    <w:semiHidden/>
    <w:unhideWhenUsed/>
    <w:rsid w:val="00240374"/>
    <w:rPr>
      <w:color w:val="800080"/>
      <w:u w:val="single"/>
    </w:rPr>
  </w:style>
</w:styles>
</file>

<file path=word/webSettings.xml><?xml version="1.0" encoding="utf-8"?>
<w:webSettings xmlns:r="http://schemas.openxmlformats.org/officeDocument/2006/relationships" xmlns:w="http://schemas.openxmlformats.org/wordprocessingml/2006/main">
  <w:divs>
    <w:div w:id="206112478">
      <w:bodyDiv w:val="1"/>
      <w:marLeft w:val="0"/>
      <w:marRight w:val="0"/>
      <w:marTop w:val="0"/>
      <w:marBottom w:val="0"/>
      <w:divBdr>
        <w:top w:val="none" w:sz="0" w:space="0" w:color="auto"/>
        <w:left w:val="none" w:sz="0" w:space="0" w:color="auto"/>
        <w:bottom w:val="none" w:sz="0" w:space="0" w:color="auto"/>
        <w:right w:val="none" w:sz="0" w:space="0" w:color="auto"/>
      </w:divBdr>
    </w:div>
    <w:div w:id="227233248">
      <w:bodyDiv w:val="1"/>
      <w:marLeft w:val="0"/>
      <w:marRight w:val="0"/>
      <w:marTop w:val="0"/>
      <w:marBottom w:val="0"/>
      <w:divBdr>
        <w:top w:val="none" w:sz="0" w:space="0" w:color="auto"/>
        <w:left w:val="none" w:sz="0" w:space="0" w:color="auto"/>
        <w:bottom w:val="none" w:sz="0" w:space="0" w:color="auto"/>
        <w:right w:val="none" w:sz="0" w:space="0" w:color="auto"/>
      </w:divBdr>
    </w:div>
    <w:div w:id="329985716">
      <w:bodyDiv w:val="1"/>
      <w:marLeft w:val="0"/>
      <w:marRight w:val="0"/>
      <w:marTop w:val="0"/>
      <w:marBottom w:val="0"/>
      <w:divBdr>
        <w:top w:val="none" w:sz="0" w:space="0" w:color="auto"/>
        <w:left w:val="none" w:sz="0" w:space="0" w:color="auto"/>
        <w:bottom w:val="none" w:sz="0" w:space="0" w:color="auto"/>
        <w:right w:val="none" w:sz="0" w:space="0" w:color="auto"/>
      </w:divBdr>
    </w:div>
    <w:div w:id="376242769">
      <w:bodyDiv w:val="1"/>
      <w:marLeft w:val="0"/>
      <w:marRight w:val="0"/>
      <w:marTop w:val="0"/>
      <w:marBottom w:val="0"/>
      <w:divBdr>
        <w:top w:val="none" w:sz="0" w:space="0" w:color="auto"/>
        <w:left w:val="none" w:sz="0" w:space="0" w:color="auto"/>
        <w:bottom w:val="none" w:sz="0" w:space="0" w:color="auto"/>
        <w:right w:val="none" w:sz="0" w:space="0" w:color="auto"/>
      </w:divBdr>
    </w:div>
    <w:div w:id="592863271">
      <w:bodyDiv w:val="1"/>
      <w:marLeft w:val="0"/>
      <w:marRight w:val="0"/>
      <w:marTop w:val="0"/>
      <w:marBottom w:val="0"/>
      <w:divBdr>
        <w:top w:val="none" w:sz="0" w:space="0" w:color="auto"/>
        <w:left w:val="none" w:sz="0" w:space="0" w:color="auto"/>
        <w:bottom w:val="none" w:sz="0" w:space="0" w:color="auto"/>
        <w:right w:val="none" w:sz="0" w:space="0" w:color="auto"/>
      </w:divBdr>
    </w:div>
    <w:div w:id="776297019">
      <w:bodyDiv w:val="1"/>
      <w:marLeft w:val="0"/>
      <w:marRight w:val="0"/>
      <w:marTop w:val="0"/>
      <w:marBottom w:val="0"/>
      <w:divBdr>
        <w:top w:val="none" w:sz="0" w:space="0" w:color="auto"/>
        <w:left w:val="none" w:sz="0" w:space="0" w:color="auto"/>
        <w:bottom w:val="none" w:sz="0" w:space="0" w:color="auto"/>
        <w:right w:val="none" w:sz="0" w:space="0" w:color="auto"/>
      </w:divBdr>
      <w:divsChild>
        <w:div w:id="844244840">
          <w:marLeft w:val="446"/>
          <w:marRight w:val="0"/>
          <w:marTop w:val="0"/>
          <w:marBottom w:val="0"/>
          <w:divBdr>
            <w:top w:val="none" w:sz="0" w:space="0" w:color="auto"/>
            <w:left w:val="none" w:sz="0" w:space="0" w:color="auto"/>
            <w:bottom w:val="none" w:sz="0" w:space="0" w:color="auto"/>
            <w:right w:val="none" w:sz="0" w:space="0" w:color="auto"/>
          </w:divBdr>
        </w:div>
        <w:div w:id="1280841711">
          <w:marLeft w:val="446"/>
          <w:marRight w:val="0"/>
          <w:marTop w:val="0"/>
          <w:marBottom w:val="0"/>
          <w:divBdr>
            <w:top w:val="none" w:sz="0" w:space="0" w:color="auto"/>
            <w:left w:val="none" w:sz="0" w:space="0" w:color="auto"/>
            <w:bottom w:val="none" w:sz="0" w:space="0" w:color="auto"/>
            <w:right w:val="none" w:sz="0" w:space="0" w:color="auto"/>
          </w:divBdr>
        </w:div>
      </w:divsChild>
    </w:div>
    <w:div w:id="1195656411">
      <w:bodyDiv w:val="1"/>
      <w:marLeft w:val="0"/>
      <w:marRight w:val="0"/>
      <w:marTop w:val="0"/>
      <w:marBottom w:val="0"/>
      <w:divBdr>
        <w:top w:val="none" w:sz="0" w:space="0" w:color="auto"/>
        <w:left w:val="none" w:sz="0" w:space="0" w:color="auto"/>
        <w:bottom w:val="none" w:sz="0" w:space="0" w:color="auto"/>
        <w:right w:val="none" w:sz="0" w:space="0" w:color="auto"/>
      </w:divBdr>
    </w:div>
    <w:div w:id="1223517963">
      <w:bodyDiv w:val="1"/>
      <w:marLeft w:val="0"/>
      <w:marRight w:val="0"/>
      <w:marTop w:val="0"/>
      <w:marBottom w:val="0"/>
      <w:divBdr>
        <w:top w:val="none" w:sz="0" w:space="0" w:color="auto"/>
        <w:left w:val="none" w:sz="0" w:space="0" w:color="auto"/>
        <w:bottom w:val="none" w:sz="0" w:space="0" w:color="auto"/>
        <w:right w:val="none" w:sz="0" w:space="0" w:color="auto"/>
      </w:divBdr>
    </w:div>
    <w:div w:id="1363752448">
      <w:bodyDiv w:val="1"/>
      <w:marLeft w:val="0"/>
      <w:marRight w:val="0"/>
      <w:marTop w:val="0"/>
      <w:marBottom w:val="0"/>
      <w:divBdr>
        <w:top w:val="none" w:sz="0" w:space="0" w:color="auto"/>
        <w:left w:val="none" w:sz="0" w:space="0" w:color="auto"/>
        <w:bottom w:val="none" w:sz="0" w:space="0" w:color="auto"/>
        <w:right w:val="none" w:sz="0" w:space="0" w:color="auto"/>
      </w:divBdr>
    </w:div>
    <w:div w:id="1776438376">
      <w:bodyDiv w:val="1"/>
      <w:marLeft w:val="0"/>
      <w:marRight w:val="0"/>
      <w:marTop w:val="0"/>
      <w:marBottom w:val="0"/>
      <w:divBdr>
        <w:top w:val="none" w:sz="0" w:space="0" w:color="auto"/>
        <w:left w:val="none" w:sz="0" w:space="0" w:color="auto"/>
        <w:bottom w:val="none" w:sz="0" w:space="0" w:color="auto"/>
        <w:right w:val="none" w:sz="0" w:space="0" w:color="auto"/>
      </w:divBdr>
    </w:div>
    <w:div w:id="1827475891">
      <w:bodyDiv w:val="1"/>
      <w:marLeft w:val="0"/>
      <w:marRight w:val="0"/>
      <w:marTop w:val="0"/>
      <w:marBottom w:val="0"/>
      <w:divBdr>
        <w:top w:val="none" w:sz="0" w:space="0" w:color="auto"/>
        <w:left w:val="none" w:sz="0" w:space="0" w:color="auto"/>
        <w:bottom w:val="none" w:sz="0" w:space="0" w:color="auto"/>
        <w:right w:val="none" w:sz="0" w:space="0" w:color="auto"/>
      </w:divBdr>
      <w:divsChild>
        <w:div w:id="432942880">
          <w:marLeft w:val="446"/>
          <w:marRight w:val="0"/>
          <w:marTop w:val="0"/>
          <w:marBottom w:val="0"/>
          <w:divBdr>
            <w:top w:val="none" w:sz="0" w:space="0" w:color="auto"/>
            <w:left w:val="none" w:sz="0" w:space="0" w:color="auto"/>
            <w:bottom w:val="none" w:sz="0" w:space="0" w:color="auto"/>
            <w:right w:val="none" w:sz="0" w:space="0" w:color="auto"/>
          </w:divBdr>
        </w:div>
        <w:div w:id="1908415567">
          <w:marLeft w:val="446"/>
          <w:marRight w:val="0"/>
          <w:marTop w:val="0"/>
          <w:marBottom w:val="0"/>
          <w:divBdr>
            <w:top w:val="none" w:sz="0" w:space="0" w:color="auto"/>
            <w:left w:val="none" w:sz="0" w:space="0" w:color="auto"/>
            <w:bottom w:val="none" w:sz="0" w:space="0" w:color="auto"/>
            <w:right w:val="none" w:sz="0" w:space="0" w:color="auto"/>
          </w:divBdr>
        </w:div>
      </w:divsChild>
    </w:div>
    <w:div w:id="1922367540">
      <w:bodyDiv w:val="1"/>
      <w:marLeft w:val="0"/>
      <w:marRight w:val="0"/>
      <w:marTop w:val="0"/>
      <w:marBottom w:val="0"/>
      <w:divBdr>
        <w:top w:val="none" w:sz="0" w:space="0" w:color="auto"/>
        <w:left w:val="none" w:sz="0" w:space="0" w:color="auto"/>
        <w:bottom w:val="none" w:sz="0" w:space="0" w:color="auto"/>
        <w:right w:val="none" w:sz="0" w:space="0" w:color="auto"/>
      </w:divBdr>
    </w:div>
    <w:div w:id="2106029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C8D6E-2EDA-4F6C-ABAC-28C1810CB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1460</Words>
  <Characters>8324</Characters>
  <Application>Microsoft Office Word</Application>
  <DocSecurity>0</DocSecurity>
  <Lines>69</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Jumana AlShammari</dc:creator>
  <cp:lastModifiedBy>AA</cp:lastModifiedBy>
  <cp:revision>2</cp:revision>
  <dcterms:created xsi:type="dcterms:W3CDTF">2014-01-12T13:42:00Z</dcterms:created>
  <dcterms:modified xsi:type="dcterms:W3CDTF">2014-01-12T13:42:00Z</dcterms:modified>
</cp:coreProperties>
</file>