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2" w:rsidRPr="0041115F" w:rsidRDefault="005E1842" w:rsidP="00B452F1">
      <w:pPr>
        <w:jc w:val="center"/>
        <w:rPr>
          <w:b/>
          <w:bCs/>
          <w:sz w:val="28"/>
          <w:szCs w:val="28"/>
        </w:rPr>
      </w:pPr>
      <w:r w:rsidRPr="0041115F">
        <w:rPr>
          <w:b/>
          <w:sz w:val="28"/>
          <w:szCs w:val="28"/>
        </w:rPr>
        <w:t xml:space="preserve">CMD </w:t>
      </w:r>
      <w:r w:rsidRPr="0041115F">
        <w:rPr>
          <w:b/>
          <w:bCs/>
          <w:sz w:val="28"/>
          <w:szCs w:val="28"/>
        </w:rPr>
        <w:t>30</w:t>
      </w:r>
      <w:r w:rsidR="00B452F1" w:rsidRPr="0041115F">
        <w:rPr>
          <w:b/>
          <w:bCs/>
          <w:sz w:val="28"/>
          <w:szCs w:val="28"/>
        </w:rPr>
        <w:t>5</w:t>
      </w:r>
      <w:r w:rsidRPr="0041115F">
        <w:rPr>
          <w:b/>
          <w:bCs/>
          <w:sz w:val="28"/>
          <w:szCs w:val="28"/>
        </w:rPr>
        <w:t xml:space="preserve"> - COURSE</w:t>
      </w:r>
    </w:p>
    <w:p w:rsidR="005E1842" w:rsidRPr="00F52E0A" w:rsidRDefault="0090615A" w:rsidP="005E1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(RESEARCH METHODOLOGY &amp;</w:t>
      </w:r>
      <w:r w:rsidR="005E1842" w:rsidRPr="00F52E0A">
        <w:rPr>
          <w:b/>
          <w:bCs/>
          <w:sz w:val="28"/>
          <w:szCs w:val="28"/>
        </w:rPr>
        <w:t xml:space="preserve"> BIOSTATISTICS)</w:t>
      </w:r>
    </w:p>
    <w:p w:rsidR="005E1842" w:rsidRPr="00B452F1" w:rsidRDefault="0041115F" w:rsidP="00B452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(1434</w:t>
      </w:r>
      <w:r w:rsidR="005E1842" w:rsidRPr="00F52E0A">
        <w:rPr>
          <w:b/>
          <w:bCs/>
          <w:sz w:val="28"/>
          <w:szCs w:val="28"/>
          <w:u w:val="single"/>
        </w:rPr>
        <w:t xml:space="preserve"> – 143</w:t>
      </w:r>
      <w:r>
        <w:rPr>
          <w:b/>
          <w:bCs/>
          <w:sz w:val="28"/>
          <w:szCs w:val="28"/>
          <w:u w:val="single"/>
        </w:rPr>
        <w:t>5</w:t>
      </w:r>
      <w:r w:rsidR="005E1842" w:rsidRPr="00F52E0A">
        <w:rPr>
          <w:b/>
          <w:sz w:val="28"/>
          <w:szCs w:val="28"/>
          <w:u w:val="single"/>
        </w:rPr>
        <w:t>)</w:t>
      </w:r>
    </w:p>
    <w:p w:rsidR="005E1842" w:rsidRPr="00277138" w:rsidRDefault="005E1842" w:rsidP="005E1842">
      <w:pPr>
        <w:rPr>
          <w:b/>
          <w:bCs/>
          <w:sz w:val="24"/>
          <w:szCs w:val="24"/>
        </w:rPr>
      </w:pPr>
      <w:r w:rsidRPr="001164C8">
        <w:rPr>
          <w:bCs/>
          <w:sz w:val="24"/>
          <w:szCs w:val="24"/>
        </w:rPr>
        <w:t xml:space="preserve">                                   </w:t>
      </w:r>
      <w:r w:rsidRPr="00277138">
        <w:rPr>
          <w:b/>
          <w:bCs/>
          <w:sz w:val="24"/>
          <w:szCs w:val="24"/>
          <w:u w:val="single"/>
        </w:rPr>
        <w:t xml:space="preserve">TUTORIAL </w:t>
      </w:r>
      <w:r w:rsidR="00D57411" w:rsidRPr="00277138">
        <w:rPr>
          <w:b/>
          <w:bCs/>
          <w:sz w:val="24"/>
          <w:szCs w:val="24"/>
          <w:u w:val="single"/>
        </w:rPr>
        <w:t>TOPIC:</w:t>
      </w:r>
      <w:r w:rsidRPr="00277138">
        <w:rPr>
          <w:b/>
          <w:bCs/>
          <w:sz w:val="24"/>
          <w:szCs w:val="24"/>
          <w:u w:val="single"/>
        </w:rPr>
        <w:t xml:space="preserve"> </w:t>
      </w:r>
      <w:r w:rsidRPr="00277138">
        <w:rPr>
          <w:b/>
          <w:bCs/>
          <w:sz w:val="24"/>
          <w:szCs w:val="24"/>
        </w:rPr>
        <w:t xml:space="preserve"> </w:t>
      </w:r>
      <w:r w:rsidRPr="00277138">
        <w:rPr>
          <w:b/>
          <w:bCs/>
          <w:sz w:val="32"/>
          <w:szCs w:val="32"/>
        </w:rPr>
        <w:t>p-value</w:t>
      </w:r>
      <w:r w:rsidRPr="00277138">
        <w:rPr>
          <w:b/>
          <w:bCs/>
          <w:sz w:val="24"/>
          <w:szCs w:val="24"/>
        </w:rPr>
        <w:t xml:space="preserve"> &amp; CONFIDENCE INTERVALS (Solutions)</w:t>
      </w:r>
    </w:p>
    <w:p w:rsidR="005E1842" w:rsidRPr="00CC5DF5" w:rsidRDefault="005E1842" w:rsidP="005E1842">
      <w:pPr>
        <w:pStyle w:val="berschrift2"/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1.</w:t>
      </w:r>
      <w:r w:rsidRPr="00CC5DF5"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Definition of “</w:t>
      </w:r>
      <w:r w:rsidRPr="00CC5DF5">
        <w:rPr>
          <w:b/>
          <w:bCs/>
          <w:color w:val="000000"/>
          <w:sz w:val="32"/>
          <w:szCs w:val="32"/>
          <w:u w:val="single"/>
        </w:rPr>
        <w:t>p-value</w:t>
      </w:r>
      <w:r>
        <w:rPr>
          <w:b/>
          <w:bCs/>
          <w:color w:val="000000"/>
          <w:sz w:val="32"/>
          <w:szCs w:val="32"/>
          <w:u w:val="single"/>
        </w:rPr>
        <w:t>”</w:t>
      </w:r>
      <w:r w:rsidRPr="00CC5DF5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1164C8" w:rsidRDefault="001164C8" w:rsidP="001164C8">
      <w:pPr>
        <w:pStyle w:val="Default"/>
        <w:rPr>
          <w:sz w:val="20"/>
          <w:szCs w:val="20"/>
        </w:rPr>
      </w:pPr>
    </w:p>
    <w:tbl>
      <w:tblPr>
        <w:tblW w:w="4801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8553"/>
        <w:gridCol w:w="1025"/>
      </w:tblGrid>
      <w:tr w:rsidR="001D1092" w:rsidRPr="00D82270" w:rsidTr="001D1092">
        <w:trPr>
          <w:trHeight w:val="26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092" w:rsidRDefault="001D1092" w:rsidP="00E615DD">
            <w:pPr>
              <w:pStyle w:val="Standard"/>
              <w:spacing w:line="360" w:lineRule="auto"/>
              <w:ind w:left="720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 correct and false statements </w:t>
            </w:r>
            <w:r w:rsidR="00D57411">
              <w:rPr>
                <w:color w:val="000000"/>
                <w:sz w:val="20"/>
                <w:szCs w:val="20"/>
              </w:rPr>
              <w:t xml:space="preserve">as: </w:t>
            </w:r>
            <w:r>
              <w:rPr>
                <w:color w:val="000000"/>
                <w:sz w:val="20"/>
                <w:szCs w:val="20"/>
              </w:rPr>
              <w:t xml:space="preserve">(Yes/No) </w:t>
            </w:r>
          </w:p>
          <w:p w:rsidR="001D1092" w:rsidRPr="00D82270" w:rsidRDefault="001D1092" w:rsidP="00E615DD">
            <w:pPr>
              <w:pStyle w:val="Standard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164C8" w:rsidRPr="00D82270" w:rsidTr="001D1092">
        <w:trPr>
          <w:trHeight w:val="266"/>
        </w:trPr>
        <w:tc>
          <w:tcPr>
            <w:tcW w:w="4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D57411" w:rsidP="00E615DD">
            <w:pPr>
              <w:pStyle w:val="a3"/>
            </w:pPr>
            <w:r w:rsidRPr="00D82270">
              <w:t xml:space="preserve">A </w:t>
            </w:r>
            <w:r>
              <w:t>“</w:t>
            </w:r>
            <w:r w:rsidR="001164C8">
              <w:t xml:space="preserve">p” </w:t>
            </w:r>
            <w:r>
              <w:t>stands for</w:t>
            </w:r>
            <w:r w:rsidR="001164C8">
              <w:t xml:space="preserve"> probability and it ranges from 0 to 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Yes</w:t>
            </w:r>
          </w:p>
        </w:tc>
      </w:tr>
      <w:tr w:rsidR="001164C8" w:rsidRPr="00D82270" w:rsidTr="001164C8">
        <w:trPr>
          <w:trHeight w:val="266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1164C8" w:rsidP="00E615DD">
            <w:pPr>
              <w:pStyle w:val="a3"/>
            </w:pPr>
            <w:r w:rsidRPr="00D82270">
              <w:t xml:space="preserve">A </w:t>
            </w:r>
            <w:r>
              <w:t xml:space="preserve">  p-value of ≤ 0.05 is considered as not statistically significant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No</w:t>
            </w:r>
          </w:p>
        </w:tc>
      </w:tr>
      <w:tr w:rsidR="001164C8" w:rsidRPr="00D82270" w:rsidTr="001164C8">
        <w:trPr>
          <w:trHeight w:val="273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1164C8" w:rsidP="00E615DD">
            <w:pPr>
              <w:pStyle w:val="a3"/>
            </w:pPr>
            <w:r>
              <w:t>A   p-value of  &gt;0.05 is considered as statistically significant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No</w:t>
            </w:r>
          </w:p>
        </w:tc>
      </w:tr>
      <w:tr w:rsidR="001164C8" w:rsidRPr="00D82270" w:rsidTr="00E615DD">
        <w:trPr>
          <w:trHeight w:val="357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1164C8" w:rsidP="00E615DD">
            <w:pPr>
              <w:pStyle w:val="a3"/>
            </w:pPr>
            <w:r>
              <w:t>Statistically significant is more important than clinical significant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No</w:t>
            </w:r>
          </w:p>
        </w:tc>
      </w:tr>
      <w:tr w:rsidR="001164C8" w:rsidRPr="00D82270" w:rsidTr="001164C8">
        <w:trPr>
          <w:trHeight w:val="497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1164C8" w:rsidP="00E615DD">
            <w:pPr>
              <w:pStyle w:val="a3"/>
            </w:pPr>
            <w:r w:rsidRPr="00D82270">
              <w:t xml:space="preserve">The p-value is the probability of getting an outcome as extreme as or more extreme than the actually observed outcome (sample) under the null hypothesis.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Yes</w:t>
            </w:r>
          </w:p>
        </w:tc>
      </w:tr>
      <w:tr w:rsidR="001164C8" w:rsidRPr="00D82270" w:rsidTr="001164C8">
        <w:trPr>
          <w:trHeight w:val="495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D82270" w:rsidRDefault="001164C8" w:rsidP="00E615DD">
            <w:pPr>
              <w:pStyle w:val="a3"/>
            </w:pPr>
            <w:r>
              <w:t xml:space="preserve"> </w:t>
            </w:r>
            <w:r w:rsidRPr="00D82270">
              <w:t xml:space="preserve">Usually the null hypothesis is a statement of "no effect", "no difference" or "=0" and we are eager to find evidence against it.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pStyle w:val="a3"/>
              <w:spacing w:line="360" w:lineRule="auto"/>
            </w:pPr>
            <w:r w:rsidRPr="00783AE5">
              <w:t>Yes</w:t>
            </w:r>
          </w:p>
        </w:tc>
      </w:tr>
      <w:tr w:rsidR="001164C8" w:rsidRPr="00D82270" w:rsidTr="001164C8">
        <w:trPr>
          <w:trHeight w:val="266"/>
        </w:trPr>
        <w:tc>
          <w:tcPr>
            <w:tcW w:w="4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Pr="00E615DD" w:rsidRDefault="001164C8" w:rsidP="00E615DD">
            <w:pPr>
              <w:pStyle w:val="a3"/>
              <w:rPr>
                <w:color w:val="000000"/>
              </w:rPr>
            </w:pPr>
            <w:r w:rsidRPr="00E615DD">
              <w:rPr>
                <w:color w:val="000000"/>
              </w:rPr>
              <w:t xml:space="preserve">When large samples are available, even small deviations from the null hypothesis will be significant.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C8" w:rsidRDefault="001164C8" w:rsidP="00E615DD">
            <w:pPr>
              <w:spacing w:line="360" w:lineRule="auto"/>
            </w:pPr>
            <w:r w:rsidRPr="00783AE5">
              <w:rPr>
                <w:color w:val="000000"/>
                <w:sz w:val="20"/>
                <w:szCs w:val="20"/>
              </w:rPr>
              <w:t>Yes</w:t>
            </w:r>
          </w:p>
        </w:tc>
      </w:tr>
    </w:tbl>
    <w:p w:rsidR="00E615DD" w:rsidRDefault="00E615DD" w:rsidP="005E1842">
      <w:pPr>
        <w:pStyle w:val="berschrift2"/>
        <w:rPr>
          <w:b/>
          <w:bCs/>
          <w:color w:val="000000"/>
          <w:sz w:val="32"/>
          <w:szCs w:val="32"/>
          <w:u w:val="single"/>
        </w:rPr>
      </w:pPr>
    </w:p>
    <w:p w:rsidR="005E1842" w:rsidRDefault="005E1842" w:rsidP="005E1842">
      <w:pPr>
        <w:pStyle w:val="berschrift2"/>
        <w:rPr>
          <w:b/>
          <w:bCs/>
          <w:color w:val="000000"/>
          <w:sz w:val="32"/>
          <w:szCs w:val="32"/>
          <w:u w:val="single"/>
        </w:rPr>
      </w:pPr>
      <w:r w:rsidRPr="00CC5DF5">
        <w:rPr>
          <w:b/>
          <w:bCs/>
          <w:color w:val="000000"/>
          <w:sz w:val="32"/>
          <w:szCs w:val="32"/>
          <w:u w:val="single"/>
        </w:rPr>
        <w:t>2. Conclusions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D57411">
        <w:rPr>
          <w:b/>
          <w:bCs/>
          <w:color w:val="000000"/>
          <w:sz w:val="32"/>
          <w:szCs w:val="32"/>
          <w:u w:val="single"/>
        </w:rPr>
        <w:t>based on</w:t>
      </w:r>
      <w:r>
        <w:rPr>
          <w:b/>
          <w:bCs/>
          <w:color w:val="000000"/>
          <w:sz w:val="32"/>
          <w:szCs w:val="32"/>
          <w:u w:val="single"/>
        </w:rPr>
        <w:t xml:space="preserve"> “p-value”</w:t>
      </w:r>
      <w:r w:rsidRPr="00CC5DF5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E615DD" w:rsidRPr="00E615DD" w:rsidRDefault="00E615DD" w:rsidP="00E615DD">
      <w:pPr>
        <w:pStyle w:val="a3"/>
      </w:pPr>
    </w:p>
    <w:p w:rsidR="007A69B8" w:rsidRPr="00E615DD" w:rsidRDefault="007A69B8" w:rsidP="00E615DD">
      <w:pPr>
        <w:pStyle w:val="a3"/>
        <w:spacing w:line="276" w:lineRule="auto"/>
        <w:rPr>
          <w:szCs w:val="20"/>
        </w:rPr>
      </w:pPr>
      <w:r w:rsidRPr="00E615DD">
        <w:rPr>
          <w:szCs w:val="20"/>
        </w:rPr>
        <w:t xml:space="preserve">There are two groups of </w:t>
      </w:r>
      <w:r w:rsidR="00D57411" w:rsidRPr="00E615DD">
        <w:rPr>
          <w:szCs w:val="20"/>
        </w:rPr>
        <w:t>employees (</w:t>
      </w:r>
      <w:r w:rsidRPr="00E615DD">
        <w:rPr>
          <w:szCs w:val="20"/>
        </w:rPr>
        <w:t xml:space="preserve">Teaching staff </w:t>
      </w:r>
      <w:r w:rsidR="00D57411" w:rsidRPr="00E615DD">
        <w:rPr>
          <w:szCs w:val="20"/>
        </w:rPr>
        <w:t>and Hospital</w:t>
      </w:r>
      <w:r w:rsidRPr="00E615DD">
        <w:rPr>
          <w:szCs w:val="20"/>
        </w:rPr>
        <w:t xml:space="preserve"> staff) </w:t>
      </w:r>
    </w:p>
    <w:p w:rsidR="007A69B8" w:rsidRPr="00E615DD" w:rsidRDefault="007A69B8" w:rsidP="00E615DD">
      <w:pPr>
        <w:pStyle w:val="a3"/>
        <w:spacing w:line="276" w:lineRule="auto"/>
        <w:rPr>
          <w:szCs w:val="20"/>
        </w:rPr>
      </w:pPr>
      <w:r w:rsidRPr="00E615DD">
        <w:rPr>
          <w:szCs w:val="20"/>
        </w:rPr>
        <w:t>H0: Mean Income</w:t>
      </w:r>
      <w:r w:rsidRPr="00E615DD">
        <w:rPr>
          <w:szCs w:val="20"/>
          <w:vertAlign w:val="subscript"/>
        </w:rPr>
        <w:t>1</w:t>
      </w:r>
      <w:r w:rsidRPr="00E615DD">
        <w:rPr>
          <w:szCs w:val="20"/>
        </w:rPr>
        <w:t xml:space="preserve"> = Mean Income</w:t>
      </w:r>
      <w:r w:rsidRPr="00E615DD">
        <w:rPr>
          <w:szCs w:val="20"/>
          <w:vertAlign w:val="subscript"/>
        </w:rPr>
        <w:t xml:space="preserve">2 </w:t>
      </w:r>
    </w:p>
    <w:p w:rsidR="007A69B8" w:rsidRPr="00E615DD" w:rsidRDefault="007A69B8" w:rsidP="00E615DD">
      <w:pPr>
        <w:pStyle w:val="a3"/>
        <w:spacing w:line="276" w:lineRule="auto"/>
        <w:ind w:left="720"/>
        <w:rPr>
          <w:szCs w:val="20"/>
        </w:rPr>
      </w:pPr>
      <w:r w:rsidRPr="00E615DD">
        <w:rPr>
          <w:szCs w:val="20"/>
        </w:rPr>
        <w:t xml:space="preserve">You draw a random sample of size 30 from each population. </w:t>
      </w:r>
    </w:p>
    <w:p w:rsidR="007A69B8" w:rsidRPr="00E615DD" w:rsidRDefault="007A69B8" w:rsidP="00E615DD">
      <w:pPr>
        <w:pStyle w:val="a3"/>
        <w:spacing w:line="276" w:lineRule="auto"/>
        <w:ind w:left="720"/>
        <w:rPr>
          <w:szCs w:val="20"/>
        </w:rPr>
      </w:pPr>
      <w:r w:rsidRPr="00E615DD">
        <w:rPr>
          <w:szCs w:val="20"/>
        </w:rPr>
        <w:t xml:space="preserve">(i)Statistical Test-result: p = 0.016 </w:t>
      </w:r>
    </w:p>
    <w:p w:rsidR="007A69B8" w:rsidRDefault="007A69B8" w:rsidP="00E615DD">
      <w:pPr>
        <w:pStyle w:val="a3"/>
        <w:spacing w:line="276" w:lineRule="auto"/>
      </w:pPr>
      <w:r w:rsidRPr="00E615DD">
        <w:rPr>
          <w:szCs w:val="20"/>
        </w:rPr>
        <w:t>Mark correct</w:t>
      </w:r>
      <w:r>
        <w:t xml:space="preserve"> and false conclusions </w:t>
      </w:r>
      <w:r w:rsidR="00D57411">
        <w:t>as: (</w:t>
      </w:r>
      <w:r>
        <w:t xml:space="preserve">Yes /No)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8944"/>
        <w:gridCol w:w="1031"/>
      </w:tblGrid>
      <w:tr w:rsidR="001D1092" w:rsidRPr="00D82270" w:rsidTr="006D679A">
        <w:trPr>
          <w:trHeight w:val="266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1D1092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Statistically, t</w:t>
            </w:r>
            <w:r w:rsidRPr="00D82270">
              <w:rPr>
                <w:color w:val="000000"/>
                <w:sz w:val="20"/>
                <w:szCs w:val="20"/>
              </w:rPr>
              <w:t xml:space="preserve">he mean income of the two employee </w:t>
            </w:r>
            <w:r w:rsidR="00D57411" w:rsidRPr="00D82270">
              <w:rPr>
                <w:color w:val="000000"/>
                <w:sz w:val="20"/>
                <w:szCs w:val="20"/>
              </w:rPr>
              <w:t>groups is</w:t>
            </w:r>
            <w:r w:rsidRPr="00D82270">
              <w:rPr>
                <w:color w:val="000000"/>
                <w:sz w:val="20"/>
                <w:szCs w:val="20"/>
              </w:rPr>
              <w:t xml:space="preserve"> equal.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1D1092" w:rsidRPr="00D82270" w:rsidTr="006D679A">
        <w:trPr>
          <w:trHeight w:val="266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1D1092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With probability 0.016 teaching staff </w:t>
            </w:r>
            <w:r w:rsidR="00D57411" w:rsidRPr="00D82270">
              <w:rPr>
                <w:color w:val="000000"/>
                <w:sz w:val="20"/>
                <w:szCs w:val="20"/>
              </w:rPr>
              <w:t>has</w:t>
            </w:r>
            <w:r w:rsidRPr="00D82270">
              <w:rPr>
                <w:color w:val="000000"/>
                <w:sz w:val="20"/>
                <w:szCs w:val="20"/>
              </w:rPr>
              <w:t xml:space="preserve"> the same mean income as hospital staff.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1D1092" w:rsidRPr="00D82270" w:rsidTr="006D679A">
        <w:trPr>
          <w:trHeight w:val="497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1D1092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The sample </w:t>
            </w:r>
            <w:r w:rsidR="00A81137">
              <w:rPr>
                <w:color w:val="000000"/>
                <w:sz w:val="20"/>
                <w:szCs w:val="20"/>
              </w:rPr>
              <w:t xml:space="preserve">data </w:t>
            </w:r>
            <w:r w:rsidRPr="00D82270">
              <w:rPr>
                <w:color w:val="000000"/>
                <w:sz w:val="20"/>
                <w:szCs w:val="20"/>
              </w:rPr>
              <w:t xml:space="preserve">is not compatible (p=0.016) with the null hypothesis: the mean income in the two groups is equal.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D1092" w:rsidRPr="00D82270" w:rsidTr="006D679A">
        <w:trPr>
          <w:trHeight w:val="495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1D1092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We could not find a significant (at level 0.05) difference in mean income of two groups.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1D1092" w:rsidRPr="00D82270" w:rsidTr="006D679A">
        <w:trPr>
          <w:trHeight w:val="497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1D1092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Data did not show a significant difference in mean income of two groups.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1D1092" w:rsidRPr="00D82270" w:rsidTr="006D679A">
        <w:trPr>
          <w:trHeight w:val="497"/>
        </w:trPr>
        <w:tc>
          <w:tcPr>
            <w:tcW w:w="4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Pr="00D82270" w:rsidRDefault="00A81137" w:rsidP="001D1092">
            <w:pPr>
              <w:pStyle w:val="Standard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sample data is </w:t>
            </w:r>
            <w:r w:rsidR="001D1092">
              <w:rPr>
                <w:color w:val="000000"/>
                <w:sz w:val="20"/>
                <w:szCs w:val="20"/>
              </w:rPr>
              <w:t>compatible (p=0.0.016</w:t>
            </w:r>
            <w:r w:rsidR="001D1092" w:rsidRPr="00D82270">
              <w:rPr>
                <w:color w:val="000000"/>
                <w:sz w:val="20"/>
                <w:szCs w:val="20"/>
              </w:rPr>
              <w:t xml:space="preserve">) with the null hypothesis that teaching and hospital staff have the same mean income.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92" w:rsidRDefault="007A69B8" w:rsidP="006D679A">
            <w:pPr>
              <w:pStyle w:val="Standard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</w:tbl>
    <w:p w:rsidR="005E1842" w:rsidRDefault="005E1842"/>
    <w:p w:rsidR="00047C0F" w:rsidRDefault="00047C0F" w:rsidP="00047C0F">
      <w:pPr>
        <w:pStyle w:val="Standard"/>
        <w:ind w:left="1080"/>
        <w:rPr>
          <w:b/>
          <w:color w:val="000000"/>
          <w:sz w:val="20"/>
          <w:szCs w:val="20"/>
        </w:rPr>
      </w:pPr>
    </w:p>
    <w:p w:rsidR="00047C0F" w:rsidRDefault="00047C0F" w:rsidP="00047C0F">
      <w:pPr>
        <w:pStyle w:val="Standard"/>
        <w:rPr>
          <w:b/>
          <w:color w:val="000000"/>
          <w:sz w:val="20"/>
          <w:szCs w:val="20"/>
        </w:rPr>
      </w:pPr>
    </w:p>
    <w:p w:rsidR="00E615DD" w:rsidRPr="00506261" w:rsidRDefault="00E615DD" w:rsidP="00E615DD">
      <w:pPr>
        <w:pStyle w:val="Standard"/>
        <w:numPr>
          <w:ilvl w:val="0"/>
          <w:numId w:val="3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Statistical </w:t>
      </w:r>
      <w:r w:rsidRPr="00506261">
        <w:rPr>
          <w:b/>
          <w:color w:val="000000"/>
          <w:sz w:val="20"/>
          <w:szCs w:val="20"/>
        </w:rPr>
        <w:t xml:space="preserve">Test-result: p = 0.09 </w:t>
      </w:r>
    </w:p>
    <w:p w:rsidR="00E615DD" w:rsidRDefault="00E615DD" w:rsidP="00E615DD">
      <w:pPr>
        <w:pStyle w:val="Standard"/>
        <w:rPr>
          <w:color w:val="000000"/>
          <w:sz w:val="20"/>
          <w:szCs w:val="20"/>
        </w:rPr>
      </w:pPr>
    </w:p>
    <w:p w:rsidR="00E615DD" w:rsidRDefault="00E615DD" w:rsidP="00E615DD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Mark correct and false conclusions as: (Yes/No) </w:t>
      </w:r>
    </w:p>
    <w:p w:rsidR="00E615DD" w:rsidRPr="00080C9F" w:rsidRDefault="00E615DD" w:rsidP="00E615DD">
      <w:pPr>
        <w:pStyle w:val="Default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8900"/>
        <w:gridCol w:w="1075"/>
      </w:tblGrid>
      <w:tr w:rsidR="00047C0F" w:rsidRPr="00D82270" w:rsidTr="00047C0F">
        <w:trPr>
          <w:trHeight w:val="266"/>
        </w:trPr>
        <w:tc>
          <w:tcPr>
            <w:tcW w:w="4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numPr>
                <w:ilvl w:val="0"/>
                <w:numId w:val="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>Mean income i</w:t>
            </w:r>
            <w:r>
              <w:rPr>
                <w:color w:val="000000"/>
                <w:sz w:val="20"/>
                <w:szCs w:val="20"/>
              </w:rPr>
              <w:t>n the two groups did not differ</w:t>
            </w:r>
            <w:r w:rsidRPr="00D82270">
              <w:rPr>
                <w:color w:val="000000"/>
                <w:sz w:val="20"/>
                <w:szCs w:val="20"/>
              </w:rPr>
              <w:t xml:space="preserve"> significantly (p=0.09).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047C0F" w:rsidRPr="00D82270" w:rsidTr="00047C0F">
        <w:trPr>
          <w:trHeight w:val="266"/>
        </w:trPr>
        <w:tc>
          <w:tcPr>
            <w:tcW w:w="4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numPr>
                <w:ilvl w:val="0"/>
                <w:numId w:val="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Mean income in the two groups differs significantly (p=0.09).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047C0F" w:rsidRPr="00D82270" w:rsidTr="00047C0F">
        <w:trPr>
          <w:trHeight w:val="497"/>
        </w:trPr>
        <w:tc>
          <w:tcPr>
            <w:tcW w:w="4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a3"/>
              <w:numPr>
                <w:ilvl w:val="0"/>
                <w:numId w:val="6"/>
              </w:numPr>
            </w:pPr>
            <w:r w:rsidRPr="00D82270">
              <w:t xml:space="preserve">The null hypothesis, that the mean income of teaching and hospital are equal, is rejected at significance level α=0.05.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047C0F" w:rsidRPr="00D82270" w:rsidTr="00047C0F">
        <w:trPr>
          <w:trHeight w:val="497"/>
        </w:trPr>
        <w:tc>
          <w:tcPr>
            <w:tcW w:w="4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A81137" w:rsidP="00047C0F">
            <w:pPr>
              <w:pStyle w:val="a3"/>
              <w:numPr>
                <w:ilvl w:val="0"/>
                <w:numId w:val="6"/>
              </w:numPr>
            </w:pPr>
            <w:r w:rsidRPr="00A81137">
              <w:t>The null hypothesis, that the mean income of teach</w:t>
            </w:r>
            <w:r>
              <w:t>ing and hospital are equal, is not r</w:t>
            </w:r>
            <w:r w:rsidRPr="00A81137">
              <w:t>ejected at significance level α=0.05.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0F" w:rsidRPr="00D82270" w:rsidRDefault="00047C0F" w:rsidP="00047C0F">
            <w:pPr>
              <w:pStyle w:val="Standard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</w:tbl>
    <w:p w:rsidR="00E615DD" w:rsidRDefault="00E615DD"/>
    <w:p w:rsidR="00E615DD" w:rsidRDefault="00E615DD"/>
    <w:p w:rsidR="00E615DD" w:rsidRDefault="00E615DD"/>
    <w:p w:rsidR="00702040" w:rsidRDefault="005E1842" w:rsidP="001C01E5">
      <w:pPr>
        <w:pStyle w:val="berschrift1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>3)</w:t>
      </w:r>
      <w:r w:rsidRPr="00D82270">
        <w:rPr>
          <w:b/>
          <w:bCs/>
          <w:color w:val="000000"/>
          <w:sz w:val="32"/>
          <w:szCs w:val="32"/>
          <w:u w:val="single"/>
        </w:rPr>
        <w:t xml:space="preserve"> Definition of Confidence Inte</w:t>
      </w:r>
      <w:r w:rsidR="00437CCE">
        <w:rPr>
          <w:b/>
          <w:bCs/>
          <w:color w:val="000000"/>
          <w:sz w:val="32"/>
          <w:szCs w:val="32"/>
          <w:u w:val="single"/>
        </w:rPr>
        <w:t>rval</w:t>
      </w:r>
      <w:r w:rsidR="001C01E5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702040" w:rsidRDefault="00702040" w:rsidP="00702040">
      <w:pPr>
        <w:pStyle w:val="Default"/>
        <w:rPr>
          <w:sz w:val="20"/>
          <w:szCs w:val="20"/>
        </w:rPr>
      </w:pPr>
    </w:p>
    <w:tbl>
      <w:tblPr>
        <w:tblW w:w="4978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8914"/>
        <w:gridCol w:w="1017"/>
      </w:tblGrid>
      <w:tr w:rsidR="00702040" w:rsidRPr="00D82270" w:rsidTr="00702040">
        <w:trPr>
          <w:trHeight w:val="266"/>
        </w:trPr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A confidence interval always covers the true parameter.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702040" w:rsidRPr="00D82270" w:rsidTr="00702040">
        <w:trPr>
          <w:trHeight w:val="266"/>
        </w:trPr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A confidence interval covers the true parameter with a given probability.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702040" w:rsidRPr="00D82270" w:rsidTr="00702040">
        <w:trPr>
          <w:trHeight w:val="266"/>
        </w:trPr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A confidence interval covers the statistic with a given probability.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702040" w:rsidRPr="00D82270" w:rsidTr="00702040">
        <w:trPr>
          <w:trHeight w:val="266"/>
        </w:trPr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82270">
              <w:rPr>
                <w:color w:val="000000"/>
                <w:sz w:val="20"/>
                <w:szCs w:val="20"/>
              </w:rPr>
              <w:t xml:space="preserve">In 100 repeated samples, 95% its  confidence intervals will contain the true parameter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40" w:rsidRPr="00D82270" w:rsidRDefault="00702040" w:rsidP="00702040">
            <w:pPr>
              <w:pStyle w:val="Standard"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</w:tbl>
    <w:p w:rsidR="005E1842" w:rsidRDefault="005E1842"/>
    <w:p w:rsidR="005E1842" w:rsidRDefault="005E1842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4)</w:t>
      </w:r>
      <w:r w:rsidRPr="00CB0557">
        <w:rPr>
          <w:b/>
          <w:bCs/>
          <w:color w:val="000000"/>
          <w:sz w:val="32"/>
          <w:szCs w:val="32"/>
          <w:u w:val="single"/>
        </w:rPr>
        <w:t xml:space="preserve">. Duality </w:t>
      </w:r>
      <w:r w:rsidR="00D57411" w:rsidRPr="00CB0557">
        <w:rPr>
          <w:b/>
          <w:bCs/>
          <w:color w:val="000000"/>
          <w:sz w:val="32"/>
          <w:szCs w:val="32"/>
          <w:u w:val="single"/>
        </w:rPr>
        <w:t>of p</w:t>
      </w:r>
      <w:r w:rsidRPr="00CB0557">
        <w:rPr>
          <w:b/>
          <w:bCs/>
          <w:color w:val="000000"/>
          <w:sz w:val="32"/>
          <w:szCs w:val="32"/>
          <w:u w:val="single"/>
        </w:rPr>
        <w:t>-value and 95% confidence intervals:</w:t>
      </w:r>
      <w:r w:rsidR="001B20F5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B6786" w:rsidRPr="007B2BE4" w:rsidRDefault="00BB6786" w:rsidP="00BB6786">
      <w:pPr>
        <w:rPr>
          <w:b/>
          <w:bCs/>
        </w:rPr>
      </w:pPr>
      <w:r w:rsidRPr="007B2BE4">
        <w:rPr>
          <w:b/>
          <w:bCs/>
        </w:rPr>
        <w:t xml:space="preserve">Which of </w:t>
      </w:r>
      <w:r w:rsidR="00D57411" w:rsidRPr="007B2BE4">
        <w:rPr>
          <w:b/>
          <w:bCs/>
        </w:rPr>
        <w:t>the 4</w:t>
      </w:r>
      <w:r w:rsidRPr="007B2BE4">
        <w:rPr>
          <w:b/>
          <w:bCs/>
        </w:rPr>
        <w:t xml:space="preserve"> statements given </w:t>
      </w:r>
      <w:r w:rsidR="00D57411" w:rsidRPr="007B2BE4">
        <w:rPr>
          <w:b/>
          <w:bCs/>
        </w:rPr>
        <w:t>below are</w:t>
      </w:r>
      <w:r w:rsidRPr="007B2BE4">
        <w:rPr>
          <w:b/>
          <w:bCs/>
        </w:rPr>
        <w:t xml:space="preserve"> </w:t>
      </w:r>
      <w:r w:rsidR="00D57411">
        <w:rPr>
          <w:b/>
          <w:bCs/>
        </w:rPr>
        <w:t xml:space="preserve">either </w:t>
      </w:r>
      <w:r w:rsidRPr="007B2BE4">
        <w:rPr>
          <w:b/>
          <w:bCs/>
        </w:rPr>
        <w:t xml:space="preserve">consistent or </w:t>
      </w:r>
      <w:r w:rsidR="00D57411" w:rsidRPr="007B2BE4">
        <w:rPr>
          <w:b/>
          <w:bCs/>
        </w:rPr>
        <w:t>inconsistent by</w:t>
      </w:r>
      <w:r w:rsidRPr="007B2BE4">
        <w:rPr>
          <w:b/>
          <w:bCs/>
        </w:rPr>
        <w:t xml:space="preserve"> both p-values and 95% confidence </w:t>
      </w:r>
      <w:r w:rsidR="00D57411" w:rsidRPr="007B2BE4">
        <w:rPr>
          <w:b/>
          <w:bCs/>
        </w:rPr>
        <w:t xml:space="preserve">intervals? </w:t>
      </w:r>
      <w:r w:rsidRPr="007B2BE4">
        <w:rPr>
          <w:b/>
          <w:bCs/>
        </w:rPr>
        <w:t xml:space="preserve">And also </w:t>
      </w:r>
      <w:r>
        <w:rPr>
          <w:b/>
          <w:bCs/>
        </w:rPr>
        <w:t xml:space="preserve">comment on the width of </w:t>
      </w:r>
      <w:r w:rsidRPr="007B2BE4">
        <w:rPr>
          <w:b/>
          <w:bCs/>
        </w:rPr>
        <w:t xml:space="preserve">the confidence </w:t>
      </w:r>
      <w:r w:rsidR="00D57411" w:rsidRPr="007B2BE4">
        <w:rPr>
          <w:b/>
          <w:bCs/>
        </w:rPr>
        <w:t>interval</w:t>
      </w:r>
      <w:r w:rsidR="00D57411">
        <w:rPr>
          <w:b/>
          <w:bCs/>
        </w:rPr>
        <w:t xml:space="preserve"> </w:t>
      </w:r>
      <w:r w:rsidR="00D57411" w:rsidRPr="007B2BE4">
        <w:rPr>
          <w:b/>
          <w:bCs/>
        </w:rPr>
        <w:t>where</w:t>
      </w:r>
      <w:r w:rsidRPr="007B2BE4">
        <w:rPr>
          <w:b/>
          <w:bCs/>
        </w:rPr>
        <w:t xml:space="preserve"> ever it is consistent.</w:t>
      </w:r>
    </w:p>
    <w:p w:rsidR="00211FEC" w:rsidRPr="009B738D" w:rsidRDefault="00211FEC" w:rsidP="00211FEC">
      <w:pPr>
        <w:pStyle w:val="a3"/>
      </w:pPr>
    </w:p>
    <w:p w:rsidR="00702040" w:rsidRDefault="00702040" w:rsidP="00702040">
      <w:pPr>
        <w:pStyle w:val="Standard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study comparing BMI (each 50 male and female) reported mean difference (male-female) </w:t>
      </w:r>
    </w:p>
    <w:p w:rsidR="00702040" w:rsidRDefault="00230672" w:rsidP="00702040">
      <w:pPr>
        <w:pStyle w:val="Standard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= 6.0, p = 0.10, CI 95% = [-1 to </w:t>
      </w:r>
      <w:r w:rsidR="00702040">
        <w:rPr>
          <w:color w:val="000000"/>
          <w:sz w:val="20"/>
          <w:szCs w:val="20"/>
        </w:rPr>
        <w:t xml:space="preserve">40] </w:t>
      </w:r>
      <w:r w:rsidR="009B738D">
        <w:rPr>
          <w:color w:val="000000"/>
          <w:sz w:val="20"/>
          <w:szCs w:val="20"/>
        </w:rPr>
        <w:t xml:space="preserve"> </w:t>
      </w:r>
    </w:p>
    <w:p w:rsidR="001C01E5" w:rsidRDefault="001C01E5" w:rsidP="00702040">
      <w:pPr>
        <w:pStyle w:val="Standard"/>
        <w:ind w:left="720" w:hanging="360"/>
        <w:rPr>
          <w:color w:val="000000"/>
          <w:sz w:val="20"/>
          <w:szCs w:val="20"/>
        </w:rPr>
      </w:pPr>
    </w:p>
    <w:p w:rsidR="002E7385" w:rsidRPr="003A0039" w:rsidRDefault="00A81137" w:rsidP="00230672">
      <w:pPr>
        <w:pStyle w:val="a3"/>
        <w:spacing w:line="276" w:lineRule="auto"/>
      </w:pPr>
      <w:r w:rsidRPr="00230672">
        <w:rPr>
          <w:b/>
          <w:bCs/>
          <w:color w:val="000000"/>
          <w:u w:val="single"/>
        </w:rPr>
        <w:t>Answer</w:t>
      </w:r>
      <w:r w:rsidR="00211FEC" w:rsidRPr="00230672">
        <w:rPr>
          <w:b/>
          <w:bCs/>
          <w:color w:val="000000"/>
          <w:u w:val="single"/>
        </w:rPr>
        <w:t>:</w:t>
      </w:r>
      <w:r w:rsidR="00211FEC" w:rsidRPr="003A0039">
        <w:rPr>
          <w:color w:val="000000"/>
        </w:rPr>
        <w:t xml:space="preserve"> </w:t>
      </w:r>
      <w:r w:rsidR="001B20F5" w:rsidRPr="003A0039">
        <w:rPr>
          <w:color w:val="000000"/>
        </w:rPr>
        <w:t xml:space="preserve"> </w:t>
      </w:r>
      <w:r w:rsidR="00211FEC" w:rsidRPr="003A0039">
        <w:rPr>
          <w:color w:val="000000"/>
        </w:rPr>
        <w:t xml:space="preserve">The mean BMI difference between male </w:t>
      </w:r>
      <w:r>
        <w:rPr>
          <w:color w:val="000000"/>
        </w:rPr>
        <w:t xml:space="preserve">and </w:t>
      </w:r>
      <w:r w:rsidR="00211FEC" w:rsidRPr="003A0039">
        <w:rPr>
          <w:color w:val="000000"/>
        </w:rPr>
        <w:t>female in</w:t>
      </w:r>
      <w:r w:rsidR="001B20F5" w:rsidRPr="003A0039">
        <w:rPr>
          <w:color w:val="000000"/>
        </w:rPr>
        <w:t xml:space="preserve"> </w:t>
      </w:r>
      <w:r w:rsidR="00211FEC" w:rsidRPr="003A0039">
        <w:rPr>
          <w:color w:val="000000"/>
        </w:rPr>
        <w:t xml:space="preserve">the target population </w:t>
      </w:r>
      <w:r w:rsidR="00230672">
        <w:rPr>
          <w:color w:val="000000"/>
        </w:rPr>
        <w:t>is not statistically significant (p=0.10, which is &gt;0.05) also the 95% confidence interval for difference of mean value o</w:t>
      </w:r>
      <w:r w:rsidR="00A71E19">
        <w:rPr>
          <w:color w:val="000000"/>
        </w:rPr>
        <w:t xml:space="preserve">f BMI included the null value </w:t>
      </w:r>
      <w:r w:rsidR="00230672">
        <w:rPr>
          <w:color w:val="000000"/>
        </w:rPr>
        <w:t xml:space="preserve">  “zero” </w:t>
      </w:r>
      <w:r w:rsidR="00D57411">
        <w:rPr>
          <w:color w:val="000000"/>
        </w:rPr>
        <w:t>(of</w:t>
      </w:r>
      <w:r w:rsidR="00230672">
        <w:rPr>
          <w:color w:val="000000"/>
        </w:rPr>
        <w:t xml:space="preserve"> no difference). </w:t>
      </w:r>
      <w:r w:rsidR="00230672" w:rsidRPr="00A71E19">
        <w:rPr>
          <w:b/>
          <w:color w:val="000000"/>
        </w:rPr>
        <w:t>Hence both p-value and 95% CI are consistent</w:t>
      </w:r>
      <w:r w:rsidR="00230672">
        <w:rPr>
          <w:color w:val="000000"/>
        </w:rPr>
        <w:t>. The width of confidence interval is large due to small sample si</w:t>
      </w:r>
      <w:r w:rsidR="00A71E19">
        <w:rPr>
          <w:color w:val="000000"/>
        </w:rPr>
        <w:t>ze (</w:t>
      </w:r>
      <w:r w:rsidR="00D57411">
        <w:rPr>
          <w:color w:val="000000"/>
        </w:rPr>
        <w:t>each 50</w:t>
      </w:r>
      <w:r w:rsidR="00A71E19">
        <w:rPr>
          <w:color w:val="000000"/>
        </w:rPr>
        <w:t xml:space="preserve"> male and</w:t>
      </w:r>
      <w:r w:rsidR="00230672">
        <w:rPr>
          <w:color w:val="000000"/>
        </w:rPr>
        <w:t xml:space="preserve"> female)</w:t>
      </w:r>
      <w:r w:rsidR="00A71E19">
        <w:rPr>
          <w:color w:val="000000"/>
        </w:rPr>
        <w:t xml:space="preserve">, which indicates </w:t>
      </w:r>
      <w:r w:rsidR="009225C1">
        <w:rPr>
          <w:color w:val="000000"/>
        </w:rPr>
        <w:t>low precision of the estimate.</w:t>
      </w:r>
    </w:p>
    <w:p w:rsidR="00211FEC" w:rsidRDefault="00211FEC" w:rsidP="001B20F5">
      <w:pPr>
        <w:pStyle w:val="Standard"/>
        <w:ind w:left="720" w:hanging="360"/>
        <w:rPr>
          <w:color w:val="000000"/>
          <w:sz w:val="20"/>
          <w:szCs w:val="20"/>
        </w:rPr>
      </w:pPr>
    </w:p>
    <w:p w:rsidR="001B20F5" w:rsidRDefault="001B20F5" w:rsidP="00702040">
      <w:pPr>
        <w:pStyle w:val="Standard"/>
        <w:ind w:left="720" w:hanging="360"/>
        <w:rPr>
          <w:color w:val="000000"/>
          <w:sz w:val="20"/>
          <w:szCs w:val="20"/>
        </w:rPr>
      </w:pP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A study comparing   BMI (each 500 male and female) reported </w:t>
      </w:r>
      <w:r w:rsidR="00D57411">
        <w:rPr>
          <w:color w:val="000000"/>
          <w:sz w:val="20"/>
          <w:szCs w:val="20"/>
        </w:rPr>
        <w:t>means</w:t>
      </w:r>
      <w:r>
        <w:rPr>
          <w:color w:val="000000"/>
          <w:sz w:val="20"/>
          <w:szCs w:val="20"/>
        </w:rPr>
        <w:t xml:space="preserve"> difference (male-female) </w:t>
      </w: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= 10.5, p = 0.01 CI 95% = [-2; 15] </w:t>
      </w: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</w:p>
    <w:p w:rsidR="003A0039" w:rsidRDefault="00A71E19" w:rsidP="00A71E19">
      <w:pPr>
        <w:pStyle w:val="Standard"/>
        <w:rPr>
          <w:color w:val="000000"/>
          <w:sz w:val="20"/>
          <w:szCs w:val="20"/>
        </w:rPr>
      </w:pPr>
      <w:r w:rsidRPr="00A71E19">
        <w:rPr>
          <w:b/>
          <w:bCs/>
          <w:color w:val="000000"/>
          <w:sz w:val="20"/>
          <w:szCs w:val="20"/>
          <w:u w:val="single"/>
        </w:rPr>
        <w:t>Answer</w:t>
      </w:r>
      <w:r w:rsidR="00211FEC" w:rsidRPr="00A71E19">
        <w:rPr>
          <w:b/>
          <w:bCs/>
          <w:color w:val="000000"/>
          <w:sz w:val="20"/>
          <w:szCs w:val="20"/>
          <w:u w:val="single"/>
        </w:rPr>
        <w:t>:</w:t>
      </w:r>
      <w:r>
        <w:rPr>
          <w:color w:val="000000"/>
          <w:sz w:val="20"/>
          <w:szCs w:val="20"/>
        </w:rPr>
        <w:t xml:space="preserve"> </w:t>
      </w:r>
      <w:r w:rsidRPr="00A71E19">
        <w:rPr>
          <w:b/>
          <w:color w:val="000000"/>
          <w:sz w:val="20"/>
          <w:szCs w:val="20"/>
        </w:rPr>
        <w:t>T</w:t>
      </w:r>
      <w:r w:rsidR="001B20F5" w:rsidRPr="00A71E19">
        <w:rPr>
          <w:b/>
          <w:color w:val="000000"/>
          <w:sz w:val="20"/>
          <w:szCs w:val="20"/>
        </w:rPr>
        <w:t xml:space="preserve">he </w:t>
      </w:r>
      <w:r w:rsidRPr="00A71E19">
        <w:rPr>
          <w:b/>
          <w:color w:val="000000"/>
          <w:sz w:val="20"/>
          <w:szCs w:val="20"/>
        </w:rPr>
        <w:t>p-value and 95% CI are not consistent</w:t>
      </w:r>
      <w:r>
        <w:rPr>
          <w:color w:val="000000"/>
          <w:sz w:val="20"/>
          <w:szCs w:val="20"/>
        </w:rPr>
        <w:t xml:space="preserve">. Because p=0.01 which is &lt;0.05 (statistically significant), where as 95% CI included the null </w:t>
      </w:r>
      <w:r w:rsidR="00D57411">
        <w:rPr>
          <w:color w:val="000000"/>
          <w:sz w:val="20"/>
          <w:szCs w:val="20"/>
        </w:rPr>
        <w:t>value “</w:t>
      </w:r>
      <w:r>
        <w:rPr>
          <w:color w:val="000000"/>
          <w:sz w:val="20"/>
          <w:szCs w:val="20"/>
        </w:rPr>
        <w:t>zero” (of no difference).</w:t>
      </w:r>
    </w:p>
    <w:p w:rsidR="00211FEC" w:rsidRDefault="001B20F5" w:rsidP="00702040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11FEC" w:rsidRPr="00211FEC" w:rsidRDefault="00211FEC" w:rsidP="00211FEC">
      <w:pPr>
        <w:pStyle w:val="Default"/>
      </w:pP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A study comparing Systolic .BP (each 50 male and female) reported mean difference (male-female</w:t>
      </w:r>
      <w:r w:rsidR="00D57411">
        <w:rPr>
          <w:color w:val="000000"/>
          <w:sz w:val="20"/>
          <w:szCs w:val="20"/>
        </w:rPr>
        <w:t>) =</w:t>
      </w:r>
      <w:r>
        <w:rPr>
          <w:color w:val="000000"/>
          <w:sz w:val="20"/>
          <w:szCs w:val="20"/>
        </w:rPr>
        <w:t xml:space="preserve"> 8.0, p = 0.0001 CI 95% = [-2; 20] </w:t>
      </w: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</w:p>
    <w:p w:rsidR="00A71E19" w:rsidRDefault="00A71E19" w:rsidP="00A71E19">
      <w:pPr>
        <w:pStyle w:val="Standard"/>
        <w:rPr>
          <w:color w:val="000000"/>
          <w:sz w:val="20"/>
          <w:szCs w:val="20"/>
        </w:rPr>
      </w:pPr>
      <w:r w:rsidRPr="00A71E19">
        <w:rPr>
          <w:b/>
          <w:bCs/>
          <w:color w:val="000000"/>
          <w:sz w:val="20"/>
          <w:szCs w:val="20"/>
          <w:u w:val="single"/>
        </w:rPr>
        <w:t>Answer:</w:t>
      </w:r>
      <w:r>
        <w:rPr>
          <w:color w:val="000000"/>
          <w:sz w:val="20"/>
          <w:szCs w:val="20"/>
        </w:rPr>
        <w:t xml:space="preserve"> </w:t>
      </w:r>
      <w:r w:rsidRPr="00A71E19">
        <w:rPr>
          <w:b/>
          <w:color w:val="000000"/>
          <w:sz w:val="20"/>
          <w:szCs w:val="20"/>
        </w:rPr>
        <w:t>The p-value and 95% CI are not consistent</w:t>
      </w:r>
      <w:r>
        <w:rPr>
          <w:color w:val="000000"/>
          <w:sz w:val="20"/>
          <w:szCs w:val="20"/>
        </w:rPr>
        <w:t xml:space="preserve">. Because p=0.0001 which is &lt;0.05 (highly statistically significant), where as 95% CI included the null </w:t>
      </w:r>
      <w:r w:rsidR="00D57411">
        <w:rPr>
          <w:color w:val="000000"/>
          <w:sz w:val="20"/>
          <w:szCs w:val="20"/>
        </w:rPr>
        <w:t>value “</w:t>
      </w:r>
      <w:r>
        <w:rPr>
          <w:color w:val="000000"/>
          <w:sz w:val="20"/>
          <w:szCs w:val="20"/>
        </w:rPr>
        <w:t>zero” (of no difference).</w:t>
      </w:r>
    </w:p>
    <w:p w:rsidR="00A71E19" w:rsidRDefault="00A71E19" w:rsidP="00A71E19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11FEC" w:rsidRDefault="001B20F5" w:rsidP="003A0039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552CD4" w:rsidRPr="00552CD4" w:rsidRDefault="00552CD4" w:rsidP="00552CD4">
      <w:pPr>
        <w:pStyle w:val="Default"/>
      </w:pPr>
    </w:p>
    <w:p w:rsidR="00702040" w:rsidRDefault="00A71E19" w:rsidP="00702040">
      <w:pPr>
        <w:pStyle w:val="Standard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A study comparing </w:t>
      </w:r>
      <w:r w:rsidR="00702040">
        <w:rPr>
          <w:color w:val="000000"/>
          <w:sz w:val="20"/>
          <w:szCs w:val="20"/>
        </w:rPr>
        <w:t xml:space="preserve">Systolic BP (each 500 male and female) reported mean difference (male-female) = 7.5, p = 0.0001 CI 95% = [4.5; 12.0] </w:t>
      </w:r>
    </w:p>
    <w:p w:rsidR="00702040" w:rsidRDefault="00702040" w:rsidP="00702040">
      <w:pPr>
        <w:pStyle w:val="Standard"/>
        <w:ind w:left="720" w:hanging="360"/>
        <w:rPr>
          <w:color w:val="000000"/>
          <w:sz w:val="20"/>
          <w:szCs w:val="20"/>
        </w:rPr>
      </w:pPr>
    </w:p>
    <w:p w:rsidR="00A71E19" w:rsidRPr="003A0039" w:rsidRDefault="00A71E19" w:rsidP="00A71E19">
      <w:pPr>
        <w:pStyle w:val="a3"/>
        <w:spacing w:line="276" w:lineRule="auto"/>
      </w:pPr>
      <w:r w:rsidRPr="00230672">
        <w:rPr>
          <w:b/>
          <w:bCs/>
          <w:color w:val="000000"/>
          <w:u w:val="single"/>
        </w:rPr>
        <w:t>Answer:</w:t>
      </w:r>
      <w:r w:rsidRPr="003A0039">
        <w:rPr>
          <w:color w:val="000000"/>
        </w:rPr>
        <w:t xml:space="preserve">  </w:t>
      </w:r>
      <w:r>
        <w:rPr>
          <w:color w:val="000000"/>
        </w:rPr>
        <w:t>The mean Systolic BP</w:t>
      </w:r>
      <w:r w:rsidRPr="003A0039">
        <w:rPr>
          <w:color w:val="000000"/>
        </w:rPr>
        <w:t xml:space="preserve"> difference between male </w:t>
      </w:r>
      <w:r>
        <w:rPr>
          <w:color w:val="000000"/>
        </w:rPr>
        <w:t xml:space="preserve">and </w:t>
      </w:r>
      <w:r w:rsidRPr="003A0039">
        <w:rPr>
          <w:color w:val="000000"/>
        </w:rPr>
        <w:t xml:space="preserve">female in the target population </w:t>
      </w:r>
      <w:r>
        <w:rPr>
          <w:color w:val="000000"/>
        </w:rPr>
        <w:t xml:space="preserve">is highly statistically significant (p=0.0001, which is &lt;0.05) also the 95% confidence interval for difference of mean value of Systolic BP does not included the null value   “zero” ( of no difference). </w:t>
      </w:r>
      <w:r w:rsidRPr="00A71E19">
        <w:rPr>
          <w:b/>
          <w:color w:val="000000"/>
        </w:rPr>
        <w:t>Hence both p-value and 95% CI are consistent</w:t>
      </w:r>
      <w:r>
        <w:rPr>
          <w:color w:val="000000"/>
        </w:rPr>
        <w:t xml:space="preserve">. The width of confidence interval is small due to large sample size (each   500 </w:t>
      </w:r>
      <w:r w:rsidR="00D57411">
        <w:rPr>
          <w:color w:val="000000"/>
        </w:rPr>
        <w:t>male and</w:t>
      </w:r>
      <w:r>
        <w:rPr>
          <w:color w:val="000000"/>
        </w:rPr>
        <w:t xml:space="preserve"> female), which indicates a good precision of the estimate</w:t>
      </w:r>
    </w:p>
    <w:p w:rsidR="001B20F5" w:rsidRDefault="001B20F5" w:rsidP="00A71E19">
      <w:pPr>
        <w:pStyle w:val="a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</w:p>
    <w:p w:rsidR="005E1842" w:rsidRPr="004D4B71" w:rsidRDefault="005E1842" w:rsidP="005E1842">
      <w:pPr>
        <w:pStyle w:val="a3"/>
        <w:spacing w:line="276" w:lineRule="auto"/>
        <w:rPr>
          <w:b/>
        </w:rPr>
      </w:pPr>
      <w:r>
        <w:rPr>
          <w:b/>
        </w:rPr>
        <w:t>5)</w:t>
      </w:r>
      <w:r w:rsidRPr="004D4B71">
        <w:rPr>
          <w:b/>
        </w:rPr>
        <w:t xml:space="preserve"> In a sample </w:t>
      </w:r>
      <w:r w:rsidR="00D57411" w:rsidRPr="004D4B71">
        <w:rPr>
          <w:b/>
        </w:rPr>
        <w:t>of 100</w:t>
      </w:r>
      <w:r w:rsidRPr="004D4B71">
        <w:rPr>
          <w:b/>
        </w:rPr>
        <w:t xml:space="preserve"> children taken fr</w:t>
      </w:r>
      <w:r>
        <w:rPr>
          <w:b/>
        </w:rPr>
        <w:t>om a rural community</w:t>
      </w:r>
      <w:r w:rsidRPr="004D4B71">
        <w:rPr>
          <w:b/>
        </w:rPr>
        <w:t xml:space="preserve">, it </w:t>
      </w:r>
      <w:r w:rsidR="00D57411" w:rsidRPr="004D4B71">
        <w:rPr>
          <w:b/>
        </w:rPr>
        <w:t>was found</w:t>
      </w:r>
      <w:r w:rsidRPr="004D4B71">
        <w:rPr>
          <w:b/>
        </w:rPr>
        <w:t xml:space="preserve"> anemia prevalence as 35%. Construct 95 % co</w:t>
      </w:r>
      <w:r>
        <w:rPr>
          <w:b/>
        </w:rPr>
        <w:t xml:space="preserve">nfidence interval for </w:t>
      </w:r>
      <w:r w:rsidR="00D57411">
        <w:rPr>
          <w:b/>
        </w:rPr>
        <w:t xml:space="preserve">the </w:t>
      </w:r>
      <w:r w:rsidR="00D57411" w:rsidRPr="004D4B71">
        <w:rPr>
          <w:b/>
        </w:rPr>
        <w:t>prevalence</w:t>
      </w:r>
      <w:r w:rsidRPr="004D4B71">
        <w:rPr>
          <w:b/>
        </w:rPr>
        <w:t xml:space="preserve"> </w:t>
      </w:r>
      <w:r>
        <w:rPr>
          <w:b/>
        </w:rPr>
        <w:t xml:space="preserve">of anemia for that community </w:t>
      </w:r>
      <w:r w:rsidRPr="004D4B71">
        <w:rPr>
          <w:b/>
        </w:rPr>
        <w:t>and give your inference.</w:t>
      </w:r>
      <w:r>
        <w:rPr>
          <w:b/>
        </w:rPr>
        <w:t xml:space="preserve"> Also comment on the width of confidence interval.</w:t>
      </w:r>
    </w:p>
    <w:p w:rsidR="005E1842" w:rsidRDefault="00D57411" w:rsidP="005E1842">
      <w:pPr>
        <w:pStyle w:val="a3"/>
        <w:spacing w:line="276" w:lineRule="auto"/>
        <w:rPr>
          <w:b/>
          <w:bCs/>
        </w:rPr>
      </w:pPr>
      <w:r>
        <w:rPr>
          <w:b/>
          <w:bCs/>
        </w:rPr>
        <w:t>[Use:</w:t>
      </w:r>
      <w:r w:rsidR="005E1842">
        <w:rPr>
          <w:b/>
          <w:bCs/>
        </w:rPr>
        <w:t xml:space="preserve"> 95% CI for population proportion = p ± confidence factor × S.error of (p), </w:t>
      </w:r>
    </w:p>
    <w:p w:rsidR="005E1842" w:rsidRPr="005E1842" w:rsidRDefault="00D57411" w:rsidP="005E1842">
      <w:pPr>
        <w:pStyle w:val="a3"/>
        <w:spacing w:line="276" w:lineRule="auto"/>
        <w:rPr>
          <w:b/>
          <w:bCs/>
        </w:rPr>
      </w:pPr>
      <w:r>
        <w:rPr>
          <w:b/>
          <w:bCs/>
        </w:rPr>
        <w:t>Where</w:t>
      </w:r>
      <w:r w:rsidR="005E1842">
        <w:rPr>
          <w:b/>
          <w:bCs/>
        </w:rPr>
        <w:t xml:space="preserve"> confidence factor=1.96 and S.error of (p) = </w:t>
      </w:r>
      <w:r w:rsidR="00306EAB">
        <w:rPr>
          <w:b/>
          <w:bCs/>
        </w:rPr>
        <w:t>0.04</w:t>
      </w:r>
      <w:r w:rsidR="005E1842">
        <w:rPr>
          <w:b/>
          <w:bCs/>
        </w:rPr>
        <w:t>8]</w:t>
      </w:r>
    </w:p>
    <w:p w:rsidR="005E1842" w:rsidRDefault="005E1842" w:rsidP="005E1842">
      <w:pPr>
        <w:pStyle w:val="a3"/>
        <w:spacing w:line="360" w:lineRule="auto"/>
        <w:rPr>
          <w:b/>
          <w:bCs/>
        </w:rPr>
      </w:pPr>
    </w:p>
    <w:p w:rsidR="005E1842" w:rsidRPr="005E1842" w:rsidRDefault="005E1842" w:rsidP="005E1842">
      <w:pPr>
        <w:pStyle w:val="a3"/>
        <w:spacing w:line="360" w:lineRule="auto"/>
        <w:rPr>
          <w:b/>
          <w:bCs/>
          <w:u w:val="single"/>
        </w:rPr>
      </w:pPr>
      <w:r w:rsidRPr="005E1842">
        <w:rPr>
          <w:b/>
          <w:bCs/>
          <w:u w:val="single"/>
        </w:rPr>
        <w:t xml:space="preserve">Solution:        </w:t>
      </w:r>
    </w:p>
    <w:p w:rsidR="005E1842" w:rsidRDefault="006D679A" w:rsidP="005E1842">
      <w:pPr>
        <w:pStyle w:val="a3"/>
        <w:spacing w:line="360" w:lineRule="auto"/>
        <w:rPr>
          <w:b/>
          <w:bCs/>
        </w:rPr>
      </w:pPr>
      <w:r>
        <w:rPr>
          <w:rFonts w:ascii="Times New Roman" w:hAnsi="Times New Roman"/>
          <w:sz w:val="28"/>
          <w:szCs w:val="24"/>
        </w:rPr>
        <w:tab/>
      </w:r>
      <w:r w:rsidR="005E1842" w:rsidRPr="00C526F4">
        <w:rPr>
          <w:rFonts w:ascii="Times New Roman" w:hAnsi="Times New Roman"/>
          <w:sz w:val="28"/>
          <w:szCs w:val="24"/>
        </w:rPr>
        <w:t>95% Confidence Interval</w:t>
      </w:r>
      <w:r w:rsidR="005E1842" w:rsidRPr="00C526F4">
        <w:rPr>
          <w:rFonts w:ascii="Times New Roman" w:hAnsi="Times New Roman"/>
          <w:sz w:val="24"/>
          <w:szCs w:val="24"/>
        </w:rPr>
        <w:t xml:space="preserve"> </w:t>
      </w:r>
      <w:r w:rsidR="005E1842" w:rsidRPr="00C526F4">
        <w:rPr>
          <w:rFonts w:ascii="Times New Roman" w:hAnsi="Times New Roman"/>
          <w:sz w:val="28"/>
          <w:szCs w:val="28"/>
        </w:rPr>
        <w:t xml:space="preserve">for population </w:t>
      </w:r>
      <w:r w:rsidR="00D57411" w:rsidRPr="00C526F4">
        <w:rPr>
          <w:rFonts w:ascii="Times New Roman" w:hAnsi="Times New Roman"/>
          <w:sz w:val="28"/>
          <w:szCs w:val="28"/>
        </w:rPr>
        <w:t>proportion</w:t>
      </w:r>
      <w:r w:rsidR="00D57411" w:rsidRPr="00C526F4">
        <w:rPr>
          <w:sz w:val="28"/>
          <w:szCs w:val="28"/>
        </w:rPr>
        <w:t>:</w:t>
      </w:r>
      <w:r w:rsidR="005E1842">
        <w:rPr>
          <w:rFonts w:ascii="Century Gothic" w:hAnsi="Century Gothic" w:cs="Arial"/>
          <w:sz w:val="24"/>
        </w:rPr>
        <w:t xml:space="preserve"> </w:t>
      </w:r>
      <w:r w:rsidR="005E1842" w:rsidRPr="00DE2917">
        <w:rPr>
          <w:rFonts w:ascii="Century Gothic" w:hAnsi="Century Gothic" w:cs="Arial"/>
          <w:position w:val="-10"/>
          <w:sz w:val="24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75pt;height:21pt" o:ole="">
            <v:imagedata r:id="rId5" o:title=""/>
          </v:shape>
          <o:OLEObject Type="Embed" ProgID="Equation.3" ShapeID="_x0000_i1026" DrawAspect="Content" ObjectID="_1447511811" r:id="rId6"/>
        </w:object>
      </w:r>
    </w:p>
    <w:p w:rsidR="005E1842" w:rsidRPr="004D4B71" w:rsidRDefault="005E1842" w:rsidP="005E1842">
      <w:pPr>
        <w:pStyle w:val="a3"/>
        <w:spacing w:line="360" w:lineRule="auto"/>
      </w:pPr>
      <w:r>
        <w:t xml:space="preserve"> </w:t>
      </w:r>
      <w:r w:rsidR="006D679A">
        <w:tab/>
      </w:r>
      <w:r w:rsidRPr="00443541">
        <w:rPr>
          <w:position w:val="-26"/>
        </w:rPr>
        <w:object w:dxaOrig="2079" w:dyaOrig="700">
          <v:shape id="_x0000_i1027" type="#_x0000_t75" style="width:104.25pt;height:35.25pt" o:ole="">
            <v:imagedata r:id="rId7" o:title=""/>
          </v:shape>
          <o:OLEObject Type="Embed" ProgID="Equation.3" ShapeID="_x0000_i1027" DrawAspect="Content" ObjectID="_1447511812" r:id="rId8"/>
        </w:object>
      </w:r>
    </w:p>
    <w:p w:rsidR="005E1842" w:rsidRDefault="006D679A" w:rsidP="005E1842">
      <w:pPr>
        <w:pStyle w:val="a3"/>
        <w:spacing w:line="360" w:lineRule="auto"/>
      </w:pPr>
      <w:r>
        <w:tab/>
      </w:r>
      <w:r w:rsidR="005E1842">
        <w:t xml:space="preserve">Given    </w:t>
      </w:r>
      <w:r w:rsidR="005E1842" w:rsidRPr="004D4B71">
        <w:t xml:space="preserve">sample </w:t>
      </w:r>
      <w:r w:rsidR="00D57411" w:rsidRPr="004D4B71">
        <w:t>prop</w:t>
      </w:r>
      <w:r w:rsidR="00D57411">
        <w:t>ortion p</w:t>
      </w:r>
      <w:r w:rsidR="005E1842">
        <w:t xml:space="preserve"> </w:t>
      </w:r>
      <w:r w:rsidR="00D57411">
        <w:t>= 0.35</w:t>
      </w:r>
      <w:r w:rsidR="005E1842">
        <w:t xml:space="preserve">   ,</w:t>
      </w:r>
    </w:p>
    <w:p w:rsidR="005E1842" w:rsidRPr="004D4B71" w:rsidRDefault="005E1842" w:rsidP="005E1842">
      <w:pPr>
        <w:pStyle w:val="a3"/>
        <w:spacing w:line="360" w:lineRule="auto"/>
      </w:pPr>
      <w:r>
        <w:t xml:space="preserve"> </w:t>
      </w:r>
      <w:r w:rsidRPr="00353040">
        <w:rPr>
          <w:position w:val="-46"/>
        </w:rPr>
        <w:object w:dxaOrig="3940" w:dyaOrig="1040">
          <v:shape id="_x0000_i1028" type="#_x0000_t75" style="width:176.25pt;height:43.5pt" o:ole="">
            <v:imagedata r:id="rId9" o:title=""/>
          </v:shape>
          <o:OLEObject Type="Embed" ProgID="Equation.3" ShapeID="_x0000_i1028" DrawAspect="Content" ObjectID="_1447511813" r:id="rId10"/>
        </w:object>
      </w:r>
    </w:p>
    <w:p w:rsidR="005E1842" w:rsidRPr="004D4B71" w:rsidRDefault="005E1842" w:rsidP="005E1842">
      <w:pPr>
        <w:pStyle w:val="a3"/>
        <w:spacing w:line="360" w:lineRule="auto"/>
      </w:pPr>
      <w:r w:rsidRPr="004D4B71">
        <w:t xml:space="preserve">95% confidence limits are </w:t>
      </w:r>
      <w:r w:rsidR="00D57411">
        <w:t>(</w:t>
      </w:r>
      <w:r w:rsidR="00D57411" w:rsidRPr="004D4B71">
        <w:t>0.35</w:t>
      </w:r>
      <w:r w:rsidRPr="004D4B71">
        <w:t xml:space="preserve">  </w:t>
      </w:r>
      <w:r w:rsidRPr="004D4B71">
        <w:sym w:font="Symbol" w:char="00B1"/>
      </w:r>
      <w:r>
        <w:t xml:space="preserve"> 1.96 x </w:t>
      </w:r>
      <w:r w:rsidR="00D57411">
        <w:t>0.048)</w:t>
      </w:r>
      <w:r>
        <w:t xml:space="preserve"> </w:t>
      </w:r>
      <w:r w:rsidR="00D57411">
        <w:t>= 0.2559</w:t>
      </w:r>
      <w:r w:rsidR="00D57411" w:rsidRPr="004D4B71">
        <w:t>” to</w:t>
      </w:r>
      <w:r w:rsidRPr="004D4B71">
        <w:t xml:space="preserve">   0.44</w:t>
      </w:r>
      <w:r>
        <w:t>41</w:t>
      </w:r>
      <w:r w:rsidRPr="004D4B71">
        <w:t>” = 26% to 44%</w:t>
      </w:r>
    </w:p>
    <w:p w:rsidR="005E1842" w:rsidRPr="005E1842" w:rsidRDefault="009225C1" w:rsidP="005E1842">
      <w:pPr>
        <w:pStyle w:val="a3"/>
        <w:spacing w:line="360" w:lineRule="auto"/>
      </w:pPr>
      <w:r>
        <w:t>With 95% confidence</w:t>
      </w:r>
      <w:r w:rsidR="00D57411">
        <w:t>,</w:t>
      </w:r>
      <w:r w:rsidR="00D57411" w:rsidRPr="004D4B71">
        <w:t xml:space="preserve"> </w:t>
      </w:r>
      <w:r w:rsidR="00D57411">
        <w:t>we</w:t>
      </w:r>
      <w:r w:rsidR="005E1842" w:rsidRPr="004D4B71">
        <w:t xml:space="preserve"> expect that the anemia prevalence in the population will </w:t>
      </w:r>
      <w:r w:rsidR="00D57411" w:rsidRPr="004D4B71">
        <w:t>be as</w:t>
      </w:r>
      <w:r w:rsidR="005E1842" w:rsidRPr="004D4B71">
        <w:t xml:space="preserve"> minimum as 26% and as high as 44%. </w:t>
      </w:r>
      <w:r w:rsidR="005E1842">
        <w:t xml:space="preserve"> The width of 95% confidence interval</w:t>
      </w:r>
      <w:r w:rsidR="002E7385">
        <w:t xml:space="preserve"> </w:t>
      </w:r>
      <w:r w:rsidR="005E1842">
        <w:t xml:space="preserve"> </w:t>
      </w:r>
      <w:r>
        <w:t xml:space="preserve"> </w:t>
      </w:r>
      <w:r w:rsidR="005E1842">
        <w:t>is wide, due to sample size of 100 children, which indicates lack of precision of the estimate.</w:t>
      </w:r>
    </w:p>
    <w:p w:rsidR="00552CD4" w:rsidRDefault="00552CD4" w:rsidP="005E1842">
      <w:pPr>
        <w:pStyle w:val="a3"/>
        <w:spacing w:line="276" w:lineRule="auto"/>
        <w:rPr>
          <w:b/>
          <w:bCs/>
        </w:rPr>
      </w:pPr>
    </w:p>
    <w:p w:rsidR="009225C1" w:rsidRDefault="009225C1" w:rsidP="005E1842">
      <w:pPr>
        <w:pStyle w:val="a3"/>
        <w:spacing w:line="276" w:lineRule="auto"/>
        <w:rPr>
          <w:b/>
          <w:bCs/>
        </w:rPr>
      </w:pPr>
    </w:p>
    <w:p w:rsidR="009225C1" w:rsidRDefault="009225C1" w:rsidP="005E1842">
      <w:pPr>
        <w:pStyle w:val="a3"/>
        <w:spacing w:line="276" w:lineRule="auto"/>
        <w:rPr>
          <w:b/>
          <w:bCs/>
        </w:rPr>
      </w:pPr>
    </w:p>
    <w:p w:rsidR="009225C1" w:rsidRDefault="009225C1" w:rsidP="005E1842">
      <w:pPr>
        <w:pStyle w:val="a3"/>
        <w:spacing w:line="276" w:lineRule="auto"/>
        <w:rPr>
          <w:b/>
          <w:bCs/>
        </w:rPr>
      </w:pPr>
    </w:p>
    <w:p w:rsidR="005E1842" w:rsidRDefault="005E1842" w:rsidP="006D679A">
      <w:pPr>
        <w:pStyle w:val="a3"/>
        <w:rPr>
          <w:b/>
          <w:bCs/>
        </w:rPr>
      </w:pPr>
      <w:r>
        <w:rPr>
          <w:b/>
          <w:bCs/>
        </w:rPr>
        <w:lastRenderedPageBreak/>
        <w:t>6).</w:t>
      </w:r>
      <w:r w:rsidRPr="00E17CE4">
        <w:rPr>
          <w:b/>
          <w:bCs/>
        </w:rPr>
        <w:t xml:space="preserve">  To examine the hypothesis that the low birth weight babies have a higher risk</w:t>
      </w:r>
      <w:r>
        <w:rPr>
          <w:b/>
          <w:bCs/>
        </w:rPr>
        <w:t xml:space="preserve"> </w:t>
      </w:r>
      <w:r w:rsidRPr="00E17CE4">
        <w:rPr>
          <w:b/>
          <w:bCs/>
        </w:rPr>
        <w:t xml:space="preserve">of coronary diseases in later life, a study was conducted in 100 low birth weight babies </w:t>
      </w:r>
      <w:r>
        <w:rPr>
          <w:b/>
          <w:bCs/>
        </w:rPr>
        <w:t xml:space="preserve"> a</w:t>
      </w:r>
      <w:r w:rsidRPr="00E17CE4">
        <w:rPr>
          <w:b/>
          <w:bCs/>
        </w:rPr>
        <w:t>nd in 100 babies born with normal weight. It was found that 15% among the former</w:t>
      </w:r>
      <w:r>
        <w:rPr>
          <w:b/>
          <w:bCs/>
        </w:rPr>
        <w:t xml:space="preserve"> </w:t>
      </w:r>
      <w:r w:rsidRPr="00E17CE4">
        <w:rPr>
          <w:b/>
          <w:bCs/>
        </w:rPr>
        <w:t>10% in the latter had life time incidence of chronic diseases. Obtain 95% CI for the difference in proportions in these two groups.</w:t>
      </w:r>
      <w:r>
        <w:rPr>
          <w:b/>
          <w:bCs/>
        </w:rPr>
        <w:t xml:space="preserve"> Is there a statistically significant difference in the incidence of coronary diseases of low birth weight babies and babies born with normal </w:t>
      </w:r>
      <w:r w:rsidR="00D57411">
        <w:rPr>
          <w:b/>
          <w:bCs/>
        </w:rPr>
        <w:t>weight?</w:t>
      </w:r>
    </w:p>
    <w:p w:rsidR="005E1842" w:rsidRDefault="00D57411" w:rsidP="005E1842">
      <w:pPr>
        <w:pStyle w:val="a3"/>
        <w:spacing w:line="276" w:lineRule="auto"/>
        <w:rPr>
          <w:b/>
          <w:bCs/>
        </w:rPr>
      </w:pPr>
      <w:r>
        <w:rPr>
          <w:b/>
          <w:bCs/>
        </w:rPr>
        <w:t>[Use:</w:t>
      </w:r>
      <w:r w:rsidR="005E1842">
        <w:rPr>
          <w:b/>
          <w:bCs/>
        </w:rPr>
        <w:t xml:space="preserve"> 95% CI for (P1-P2) = (p1-p2) ± confidence factor × S.error of (p1-p2), </w:t>
      </w:r>
    </w:p>
    <w:p w:rsidR="005E1842" w:rsidRPr="00E17CE4" w:rsidRDefault="00D57411" w:rsidP="005E1842">
      <w:pPr>
        <w:pStyle w:val="a3"/>
        <w:spacing w:line="276" w:lineRule="auto"/>
        <w:rPr>
          <w:b/>
          <w:bCs/>
        </w:rPr>
      </w:pPr>
      <w:r>
        <w:rPr>
          <w:b/>
          <w:bCs/>
        </w:rPr>
        <w:t>Where</w:t>
      </w:r>
      <w:r w:rsidR="005E1842">
        <w:rPr>
          <w:b/>
          <w:bCs/>
        </w:rPr>
        <w:t xml:space="preserve"> confidence factor=1.96 and S.error of (p1-p2) = 0.0466]</w:t>
      </w:r>
    </w:p>
    <w:p w:rsidR="005E1842" w:rsidRDefault="005E1842" w:rsidP="005E1842">
      <w:pPr>
        <w:pStyle w:val="a3"/>
        <w:spacing w:line="360" w:lineRule="auto"/>
        <w:rPr>
          <w:b/>
          <w:sz w:val="32"/>
          <w:szCs w:val="32"/>
          <w:u w:val="single"/>
        </w:rPr>
      </w:pPr>
    </w:p>
    <w:p w:rsidR="005E1842" w:rsidRPr="005E1842" w:rsidRDefault="005E1842" w:rsidP="005E1842">
      <w:pPr>
        <w:pStyle w:val="a3"/>
        <w:spacing w:line="360" w:lineRule="auto"/>
      </w:pPr>
      <w:r w:rsidRPr="004D4B71">
        <w:rPr>
          <w:b/>
          <w:bCs/>
        </w:rPr>
        <w:t xml:space="preserve">Solution:  </w:t>
      </w:r>
      <w:r w:rsidRPr="004D4B71">
        <w:t xml:space="preserve">95% C </w:t>
      </w:r>
      <w:r w:rsidR="00D57411" w:rsidRPr="004D4B71">
        <w:t>I for</w:t>
      </w:r>
      <w:r w:rsidRPr="004D4B71">
        <w:t xml:space="preserve"> (P1-P2) is </w:t>
      </w:r>
      <w:r>
        <w:t xml:space="preserve"> </w:t>
      </w:r>
      <w:r w:rsidRPr="004D4B71">
        <w:t xml:space="preserve">  (p1-p2) ± </w:t>
      </w:r>
      <w:r w:rsidR="00D57411" w:rsidRPr="004D4B71">
        <w:t>Z</w:t>
      </w:r>
      <w:r w:rsidR="00D57411" w:rsidRPr="004D4B71">
        <w:rPr>
          <w:vertAlign w:val="subscript"/>
        </w:rPr>
        <w:t xml:space="preserve"> (</w:t>
      </w:r>
      <w:r w:rsidRPr="004D4B71">
        <w:rPr>
          <w:vertAlign w:val="subscript"/>
        </w:rPr>
        <w:t>1-α)</w:t>
      </w:r>
      <w:r w:rsidRPr="004D4B71">
        <w:t xml:space="preserve"> </w:t>
      </w:r>
      <w:r w:rsidR="00D57411" w:rsidRPr="004D4B71">
        <w:t>se (</w:t>
      </w:r>
      <w:r w:rsidRPr="004D4B71">
        <w:t>p1-p2</w:t>
      </w:r>
      <w:r w:rsidR="00C931FF">
        <w:t>)</w:t>
      </w:r>
      <w:r w:rsidRPr="00E17CE4">
        <w:rPr>
          <w:b/>
          <w:bCs/>
        </w:rPr>
        <w:tab/>
      </w:r>
      <w:r>
        <w:rPr>
          <w:b/>
          <w:bCs/>
          <w:noProof/>
        </w:rPr>
      </w:r>
      <w:r>
        <w:rPr>
          <w:b/>
          <w:bCs/>
        </w:rPr>
        <w:pict>
          <v:group id="_x0000_s1073" editas="canvas" style="width:217.25pt;height:45pt;mso-position-horizontal-relative:char;mso-position-vertical-relative:line" coordsize="4345,900">
            <o:lock v:ext="edit" aspectratio="t"/>
            <v:shape id="_x0000_s1074" type="#_x0000_t75" style="position:absolute;width:4345;height:900" o:preferrelative="f">
              <v:fill o:detectmouseclick="t"/>
              <v:path o:extrusionok="t" o:connecttype="none"/>
              <o:lock v:ext="edit" text="t"/>
            </v:shape>
            <v:line id="_x0000_s1075" style="position:absolute" from="2364,361" to="2878,362" strokeweight="33e-5mm"/>
            <v:line id="_x0000_s1076" style="position:absolute" from="3433,361" to="4009,362" strokeweight="33e-5mm"/>
            <v:line id="_x0000_s1077" style="position:absolute;flip:y" from="2043,418" to="2079,433" strokeweight="33e-5mm"/>
            <v:line id="_x0000_s1078" style="position:absolute" from="2079,423" to="2132,651" strokeweight="67e-5mm"/>
            <v:line id="_x0000_s1079" style="position:absolute;flip:y" from="2138,42" to="2208,651" strokeweight="33e-5mm"/>
            <v:line id="_x0000_s1080" style="position:absolute" from="2208,42" to="4166,43" strokeweight="33e-5mm"/>
            <v:rect id="_x0000_s1081" style="position:absolute;left:4045;top:286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</w:t>
                    </w:r>
                  </w:p>
                </w:txbxContent>
              </v:textbox>
            </v:rect>
            <v:rect id="_x0000_s1082" style="position:absolute;left:4045;top:195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</w:t>
                    </w:r>
                  </w:p>
                </w:txbxContent>
              </v:textbox>
            </v:rect>
            <v:rect id="_x0000_s1083" style="position:absolute;left:4045;top:418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</w:t>
                    </w:r>
                  </w:p>
                </w:txbxContent>
              </v:textbox>
            </v:rect>
            <v:rect id="_x0000_s1084" style="position:absolute;left:4045;top:63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</w:t>
                    </w:r>
                  </w:p>
                </w:txbxContent>
              </v:textbox>
            </v:rect>
            <v:rect id="_x0000_s1085" style="position:absolute;left:3286;top:286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</w:t>
                    </w:r>
                  </w:p>
                </w:txbxContent>
              </v:textbox>
            </v:rect>
            <v:rect id="_x0000_s1086" style="position:absolute;left:3286;top:195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</w:t>
                    </w:r>
                  </w:p>
                </w:txbxContent>
              </v:textbox>
            </v:rect>
            <v:rect id="_x0000_s1087" style="position:absolute;left:3286;top:418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</w:t>
                    </w:r>
                  </w:p>
                </w:txbxContent>
              </v:textbox>
            </v:rect>
            <v:rect id="_x0000_s1088" style="position:absolute;left:3286;top:63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</w:t>
                    </w:r>
                  </w:p>
                </w:txbxContent>
              </v:textbox>
            </v:rect>
            <v:rect id="_x0000_s1089" style="position:absolute;left:3077;top:205;width:110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</w:t>
                    </w:r>
                  </w:p>
                </w:txbxContent>
              </v:textbox>
            </v:rect>
            <v:rect id="_x0000_s1090" style="position:absolute;left:2913;top:286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</w:t>
                    </w:r>
                  </w:p>
                </w:txbxContent>
              </v:textbox>
            </v:rect>
            <v:rect id="_x0000_s1091" style="position:absolute;left:2913;top:195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</w:t>
                    </w:r>
                  </w:p>
                </w:txbxContent>
              </v:textbox>
            </v:rect>
            <v:rect id="_x0000_s1092" style="position:absolute;left:2913;top:418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</w:t>
                    </w:r>
                  </w:p>
                </w:txbxContent>
              </v:textbox>
            </v:rect>
            <v:rect id="_x0000_s1093" style="position:absolute;left:2913;top:63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</w:t>
                    </w:r>
                  </w:p>
                </w:txbxContent>
              </v:textbox>
            </v:rect>
            <v:rect id="_x0000_s1094" style="position:absolute;left:2217;top:286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</w:t>
                    </w:r>
                  </w:p>
                </w:txbxContent>
              </v:textbox>
            </v:rect>
            <v:rect id="_x0000_s1095" style="position:absolute;left:2217;top:195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</w:t>
                    </w:r>
                  </w:p>
                </w:txbxContent>
              </v:textbox>
            </v:rect>
            <v:rect id="_x0000_s1096" style="position:absolute;left:2217;top:418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</w:t>
                    </w:r>
                  </w:p>
                </w:txbxContent>
              </v:textbox>
            </v:rect>
            <v:rect id="_x0000_s1097" style="position:absolute;left:2217;top:63;width:77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</w:t>
                    </w:r>
                  </w:p>
                </w:txbxContent>
              </v:textbox>
            </v:rect>
            <v:rect id="_x0000_s1098" style="position:absolute;left:1805;top:205;width:110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</w:t>
                    </w:r>
                  </w:p>
                </w:txbxContent>
              </v:textbox>
            </v:rect>
            <v:rect id="_x0000_s1099" style="position:absolute;left:1127;top:205;width:110;height:482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</w:t>
                    </w:r>
                  </w:p>
                </w:txbxContent>
              </v:textbox>
            </v:rect>
            <v:rect id="_x0000_s1100" style="position:absolute;left:3739;top:518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1101" style="position:absolute;left:3882;top:229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1102" style="position:absolute;left:3635;top:229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1103" style="position:absolute;left:2636;top:518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1104" style="position:absolute;left:2763;top:229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1105" style="position:absolute;left:2548;top:229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1106" style="position:absolute;left:1524;top:358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1107" style="position:absolute;left:970;top:358;width:61;height:359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1108" style="position:absolute;left:1640;top:228;width:67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109" style="position:absolute;left:703;top:228;width:67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(</w:t>
                    </w:r>
                  </w:p>
                </w:txbxContent>
              </v:textbox>
            </v:rect>
            <v:rect id="_x0000_s1110" style="position:absolute;left:3595;top:389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11" style="position:absolute;left:3734;top:100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112" style="position:absolute;left:3488;top:100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rect>
            <v:rect id="_x0000_s1113" style="position:absolute;left:2511;top:389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14" style="position:absolute;left:2634;top:100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115" style="position:absolute;left:2419;top:100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rect>
            <v:rect id="_x0000_s1116" style="position:absolute;left:1376;top:229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rect>
            <v:rect id="_x0000_s1117" style="position:absolute;left:841;top:229;width:101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rect>
            <v:rect id="_x0000_s1118" style="position:absolute;left:351;top:229;width:195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of</w:t>
                    </w:r>
                  </w:p>
                </w:txbxContent>
              </v:textbox>
            </v:rect>
            <v:rect id="_x0000_s1119" style="position:absolute;left:48;top:229;width:167;height:464;mso-wrap-style:none" filled="f" stroked="f">
              <v:textbox style="mso-fit-shape-to-text:t" inset="0,0,0,0">
                <w:txbxContent>
                  <w:p w:rsidR="005E1842" w:rsidRDefault="005E1842" w:rsidP="005E1842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se</w:t>
                    </w:r>
                  </w:p>
                </w:txbxContent>
              </v:textbox>
            </v:rect>
            <w10:wrap anchorx="page"/>
            <w10:anchorlock/>
          </v:group>
        </w:pict>
      </w:r>
    </w:p>
    <w:p w:rsidR="005E1842" w:rsidRPr="004D4B71" w:rsidRDefault="005E1842" w:rsidP="005E1842">
      <w:pPr>
        <w:pStyle w:val="a3"/>
        <w:spacing w:line="360" w:lineRule="auto"/>
      </w:pPr>
      <w:r w:rsidRPr="004D4B71">
        <w:t xml:space="preserve">Where </w:t>
      </w:r>
      <w:r w:rsidR="00D57411" w:rsidRPr="004D4B71">
        <w:t>Z</w:t>
      </w:r>
      <w:r w:rsidR="00D57411">
        <w:rPr>
          <w:vertAlign w:val="subscript"/>
        </w:rPr>
        <w:t xml:space="preserve"> (</w:t>
      </w:r>
      <w:r>
        <w:rPr>
          <w:vertAlign w:val="subscript"/>
        </w:rPr>
        <w:t>1-α</w:t>
      </w:r>
      <w:r w:rsidR="00D57411" w:rsidRPr="004D4B71">
        <w:rPr>
          <w:vertAlign w:val="subscript"/>
        </w:rPr>
        <w:t>)</w:t>
      </w:r>
      <w:r w:rsidR="00D57411" w:rsidRPr="004D4B71">
        <w:t xml:space="preserve"> =</w:t>
      </w:r>
      <w:r w:rsidRPr="004D4B71">
        <w:t xml:space="preserve"> 1.96 for 95% confidence   </w:t>
      </w:r>
    </w:p>
    <w:p w:rsidR="005E1842" w:rsidRDefault="00D57411" w:rsidP="005E1842">
      <w:pPr>
        <w:pStyle w:val="a3"/>
        <w:spacing w:line="360" w:lineRule="auto"/>
      </w:pPr>
      <w:r>
        <w:t xml:space="preserve">Given </w:t>
      </w:r>
      <w:r w:rsidRPr="004D4B71">
        <w:t>p1</w:t>
      </w:r>
      <w:r w:rsidR="005E1842">
        <w:t>=</w:t>
      </w:r>
      <w:r w:rsidR="005E1842" w:rsidRPr="004D4B71">
        <w:t>incidence of chronic diseases in LBW group</w:t>
      </w:r>
      <w:r w:rsidR="005E1842">
        <w:t xml:space="preserve"> </w:t>
      </w:r>
      <w:r w:rsidR="005E1842" w:rsidRPr="004D4B71">
        <w:t xml:space="preserve">= </w:t>
      </w:r>
      <w:r w:rsidRPr="004D4B71">
        <w:t>0.15</w:t>
      </w:r>
      <w:r>
        <w:t xml:space="preserve"> and</w:t>
      </w:r>
      <w:r w:rsidR="005E1842">
        <w:t xml:space="preserve">    </w:t>
      </w:r>
    </w:p>
    <w:p w:rsidR="005E1842" w:rsidRDefault="005E1842" w:rsidP="005E1842">
      <w:pPr>
        <w:pStyle w:val="a3"/>
        <w:spacing w:line="360" w:lineRule="auto"/>
      </w:pPr>
      <w:r>
        <w:t xml:space="preserve">             </w:t>
      </w:r>
      <w:r w:rsidRPr="004D4B71">
        <w:t>p2</w:t>
      </w:r>
      <w:r>
        <w:t>= i</w:t>
      </w:r>
      <w:r w:rsidRPr="004D4B71">
        <w:t xml:space="preserve">ncidence of chronic diseases </w:t>
      </w:r>
      <w:r w:rsidR="00D57411" w:rsidRPr="004D4B71">
        <w:t>in normal</w:t>
      </w:r>
      <w:r w:rsidRPr="004D4B71">
        <w:t xml:space="preserve"> group = 0.10</w:t>
      </w:r>
      <w:r w:rsidRPr="00E17CE4">
        <w:t xml:space="preserve"> </w:t>
      </w:r>
    </w:p>
    <w:p w:rsidR="005E1842" w:rsidRPr="004D4B71" w:rsidRDefault="005E1842" w:rsidP="005E1842">
      <w:pPr>
        <w:pStyle w:val="a3"/>
        <w:spacing w:line="360" w:lineRule="auto"/>
      </w:pPr>
      <w:r w:rsidRPr="00CC6E90">
        <w:rPr>
          <w:position w:val="-30"/>
        </w:rPr>
        <w:object w:dxaOrig="4220" w:dyaOrig="760">
          <v:shape id="_x0000_i1029" type="#_x0000_t75" style="width:177.75pt;height:32.25pt" o:ole="">
            <v:imagedata r:id="rId11" o:title=""/>
          </v:shape>
          <o:OLEObject Type="Embed" ProgID="Equation.3" ShapeID="_x0000_i1029" DrawAspect="Content" ObjectID="_1447511814" r:id="rId12"/>
        </w:object>
      </w:r>
      <w:r>
        <w:t>=0.0466</w:t>
      </w:r>
    </w:p>
    <w:p w:rsidR="005E1842" w:rsidRPr="004D4B71" w:rsidRDefault="005E1842" w:rsidP="005E1842">
      <w:pPr>
        <w:pStyle w:val="a3"/>
        <w:spacing w:line="276" w:lineRule="auto"/>
      </w:pPr>
      <w:r w:rsidRPr="004D4B71">
        <w:t xml:space="preserve">95% C </w:t>
      </w:r>
      <w:r w:rsidR="00D57411" w:rsidRPr="004D4B71">
        <w:t>I for</w:t>
      </w:r>
      <w:r w:rsidRPr="004D4B71">
        <w:t xml:space="preserve"> (P1-P2) is   [(0.15-0.10) ± 1.96x0.0466] = -</w:t>
      </w:r>
      <w:r>
        <w:t xml:space="preserve"> </w:t>
      </w:r>
      <w:r w:rsidR="00D57411" w:rsidRPr="004D4B71">
        <w:t>0.0432 to</w:t>
      </w:r>
      <w:r w:rsidRPr="004D4B71">
        <w:t xml:space="preserve"> 0.1432=</w:t>
      </w:r>
      <w:r>
        <w:t xml:space="preserve"> </w:t>
      </w:r>
      <w:r w:rsidRPr="004D4B71">
        <w:t>-4.32% to14.32%</w:t>
      </w:r>
    </w:p>
    <w:p w:rsidR="005E1842" w:rsidRDefault="005E1842" w:rsidP="005E1842">
      <w:pPr>
        <w:pStyle w:val="a3"/>
        <w:spacing w:line="276" w:lineRule="auto"/>
      </w:pPr>
    </w:p>
    <w:p w:rsidR="005E1842" w:rsidRDefault="005E1842" w:rsidP="005E1842">
      <w:pPr>
        <w:pStyle w:val="a3"/>
        <w:spacing w:line="276" w:lineRule="auto"/>
      </w:pPr>
      <w:r w:rsidRPr="004D4B71">
        <w:t xml:space="preserve">The CI shows that coronary </w:t>
      </w:r>
      <w:r w:rsidR="00D57411" w:rsidRPr="004D4B71">
        <w:t>diseases in</w:t>
      </w:r>
      <w:r w:rsidRPr="004D4B71">
        <w:t xml:space="preserve"> LBWs would be as higher as 14</w:t>
      </w:r>
      <w:r w:rsidR="009225C1">
        <w:t>.32</w:t>
      </w:r>
      <w:r w:rsidRPr="004D4B71">
        <w:t>% when compared</w:t>
      </w:r>
      <w:r>
        <w:t xml:space="preserve"> </w:t>
      </w:r>
      <w:r w:rsidRPr="004D4B71">
        <w:t>to normal group.</w:t>
      </w:r>
      <w:r>
        <w:t xml:space="preserve"> As the 95% confidence intervals for difference of proportions (incidence of coronary disease) </w:t>
      </w:r>
      <w:r w:rsidR="00D57411">
        <w:t>included “</w:t>
      </w:r>
      <w:r>
        <w:t xml:space="preserve">zero” </w:t>
      </w:r>
      <w:r w:rsidR="00D57411">
        <w:t>(null</w:t>
      </w:r>
      <w:r>
        <w:t xml:space="preserve"> value of no difference), it can inferred that there is no statistically significant </w:t>
      </w:r>
      <w:r w:rsidR="00D57411">
        <w:t>difference between</w:t>
      </w:r>
      <w:r>
        <w:t xml:space="preserve"> low birth weight babies and normal weight babies.</w:t>
      </w:r>
    </w:p>
    <w:p w:rsidR="005E1842" w:rsidRDefault="005E1842" w:rsidP="005E1842">
      <w:pPr>
        <w:pStyle w:val="a3"/>
        <w:spacing w:line="276" w:lineRule="auto"/>
      </w:pPr>
    </w:p>
    <w:p w:rsidR="005E1842" w:rsidRDefault="005E1842" w:rsidP="005E1842">
      <w:pPr>
        <w:pStyle w:val="a3"/>
        <w:spacing w:line="276" w:lineRule="auto"/>
      </w:pPr>
    </w:p>
    <w:p w:rsidR="005E1842" w:rsidRDefault="005E1842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5E1842" w:rsidRDefault="005E1842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9225C1" w:rsidRDefault="009225C1" w:rsidP="005E1842">
      <w:pPr>
        <w:pStyle w:val="a3"/>
        <w:spacing w:line="276" w:lineRule="auto"/>
      </w:pPr>
    </w:p>
    <w:p w:rsidR="005E1842" w:rsidRPr="00626071" w:rsidRDefault="005E1842" w:rsidP="005E18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7</w:t>
      </w:r>
      <w:r w:rsidRPr="00626071">
        <w:rPr>
          <w:b/>
          <w:sz w:val="32"/>
          <w:szCs w:val="32"/>
          <w:u w:val="single"/>
        </w:rPr>
        <w:t xml:space="preserve">) Interpretation </w:t>
      </w:r>
      <w:r w:rsidR="00D57411" w:rsidRPr="00626071">
        <w:rPr>
          <w:b/>
          <w:sz w:val="32"/>
          <w:szCs w:val="32"/>
          <w:u w:val="single"/>
        </w:rPr>
        <w:t>of p</w:t>
      </w:r>
      <w:r w:rsidRPr="00626071">
        <w:rPr>
          <w:b/>
          <w:sz w:val="32"/>
          <w:szCs w:val="32"/>
          <w:u w:val="single"/>
        </w:rPr>
        <w:t>-</w:t>
      </w:r>
      <w:r w:rsidR="00D57411" w:rsidRPr="00626071">
        <w:rPr>
          <w:b/>
          <w:sz w:val="32"/>
          <w:szCs w:val="32"/>
          <w:u w:val="single"/>
        </w:rPr>
        <w:t>values and</w:t>
      </w:r>
      <w:r w:rsidRPr="00626071">
        <w:rPr>
          <w:b/>
          <w:sz w:val="32"/>
          <w:szCs w:val="32"/>
          <w:u w:val="single"/>
        </w:rPr>
        <w:t xml:space="preserve"> 95% confidence inter</w:t>
      </w:r>
      <w:r>
        <w:rPr>
          <w:b/>
          <w:sz w:val="32"/>
          <w:szCs w:val="32"/>
          <w:u w:val="single"/>
        </w:rPr>
        <w:t>vals in the following abstract:</w:t>
      </w:r>
    </w:p>
    <w:p w:rsidR="00BB6786" w:rsidRPr="0088618E" w:rsidRDefault="00BB6786" w:rsidP="00BB6786">
      <w:pPr>
        <w:rPr>
          <w:b/>
          <w:bCs/>
        </w:rPr>
      </w:pPr>
      <w:r>
        <w:rPr>
          <w:b/>
          <w:bCs/>
        </w:rPr>
        <w:t xml:space="preserve">Title: </w:t>
      </w:r>
      <w:r w:rsidRPr="005D49A3">
        <w:rPr>
          <w:b/>
          <w:bCs/>
        </w:rPr>
        <w:t>The Outcome of Extubation Failure in a Community Hospital Intensive Care Unit: A CohortStudy</w:t>
      </w:r>
      <w:r w:rsidRPr="005D49A3">
        <w:t xml:space="preserve">. </w:t>
      </w:r>
      <w:r>
        <w:t xml:space="preserve"> </w:t>
      </w:r>
      <w:r w:rsidRPr="005D49A3">
        <w:t xml:space="preserve">Seymour CW, Martinez A, Christie JD, Fuchs BD. </w:t>
      </w:r>
      <w:r w:rsidRPr="005D49A3">
        <w:rPr>
          <w:i/>
          <w:iCs/>
        </w:rPr>
        <w:t>Critical Care 2004</w:t>
      </w:r>
      <w:r w:rsidRPr="005D49A3">
        <w:t xml:space="preserve">, 8:R322-R327 (20July 2004) </w:t>
      </w:r>
    </w:p>
    <w:p w:rsidR="00BB6786" w:rsidRDefault="00BB6786" w:rsidP="00BB6786">
      <w:pPr>
        <w:spacing w:line="240" w:lineRule="auto"/>
        <w:jc w:val="both"/>
      </w:pPr>
      <w:r w:rsidRPr="005D49A3">
        <w:rPr>
          <w:b/>
          <w:bCs/>
        </w:rPr>
        <w:t xml:space="preserve">Introduction: </w:t>
      </w:r>
      <w:r w:rsidRPr="005D49A3">
        <w:t xml:space="preserve">Extubation failure has been associated with poor intensive care </w:t>
      </w:r>
      <w:r w:rsidR="00D57411" w:rsidRPr="005D49A3">
        <w:t>unit (</w:t>
      </w:r>
      <w:r w:rsidRPr="005D49A3">
        <w:t>ICU) and hospital outcomes in tertiary care medical centers. Given the large proportion of critical</w:t>
      </w:r>
      <w:r>
        <w:t xml:space="preserve"> </w:t>
      </w:r>
      <w:r w:rsidRPr="005D49A3">
        <w:t>care delivered in the community setting, our purpose was to determine the impact of extubation</w:t>
      </w:r>
      <w:r>
        <w:t xml:space="preserve"> </w:t>
      </w:r>
      <w:r w:rsidRPr="005D49A3">
        <w:t xml:space="preserve">failure on patient outcomes in a community hospital ICU. </w:t>
      </w:r>
    </w:p>
    <w:p w:rsidR="00BB6786" w:rsidRDefault="00BB6786" w:rsidP="00BB6786">
      <w:pPr>
        <w:spacing w:line="240" w:lineRule="auto"/>
        <w:jc w:val="both"/>
      </w:pPr>
      <w:r w:rsidRPr="005D49A3">
        <w:rPr>
          <w:b/>
          <w:bCs/>
        </w:rPr>
        <w:t xml:space="preserve">Methods: </w:t>
      </w:r>
      <w:r w:rsidRPr="005D49A3">
        <w:t>A retrospective cohort study</w:t>
      </w:r>
      <w:r>
        <w:t xml:space="preserve"> </w:t>
      </w:r>
      <w:r w:rsidRPr="005D49A3">
        <w:t>was performed using data gathered in a 16-bed medical/surgical ICU in a community hospital.</w:t>
      </w:r>
      <w:r>
        <w:t xml:space="preserve"> </w:t>
      </w:r>
      <w:r w:rsidRPr="005D49A3">
        <w:t>During 30 months, all patients with acute respiratory failure admitted to the ICU were included in</w:t>
      </w:r>
      <w:r>
        <w:t xml:space="preserve"> </w:t>
      </w:r>
      <w:r w:rsidRPr="005D49A3">
        <w:t xml:space="preserve">the source population if they were mechanically ventilated by endotracheal tube for more than 12hours. Extubation failure was defined as reinstitution of mechanical ventilation within 72 hours (n= 60), and the control cohort included patients who were successfully extubated at 72 hours (n =93). </w:t>
      </w:r>
    </w:p>
    <w:p w:rsidR="00BB6786" w:rsidRDefault="00BB6786" w:rsidP="00EE0AA2">
      <w:pPr>
        <w:spacing w:line="240" w:lineRule="auto"/>
        <w:jc w:val="both"/>
      </w:pPr>
      <w:r w:rsidRPr="005D49A3">
        <w:rPr>
          <w:b/>
          <w:bCs/>
        </w:rPr>
        <w:t xml:space="preserve">Results: </w:t>
      </w:r>
      <w:r w:rsidRPr="005D49A3">
        <w:t>The primary outcome was total ICU length of stay after the initial extubation.</w:t>
      </w:r>
      <w:r>
        <w:t xml:space="preserve"> </w:t>
      </w:r>
      <w:r w:rsidRPr="005D49A3">
        <w:t>Secondary outcomes were total hospital length of stay after the initial extubation, ICU mortality,</w:t>
      </w:r>
      <w:r>
        <w:t xml:space="preserve"> </w:t>
      </w:r>
      <w:r w:rsidRPr="005D49A3">
        <w:t>hospital mortality, and total hospital cost. Patient groups were similar in terms of age, sex, and</w:t>
      </w:r>
      <w:r>
        <w:t xml:space="preserve"> </w:t>
      </w:r>
      <w:r w:rsidRPr="005D49A3">
        <w:t xml:space="preserve">severity of illness, as assessed </w:t>
      </w:r>
      <w:r w:rsidR="00EE0AA2" w:rsidRPr="005D49A3">
        <w:t xml:space="preserve">using admission Acute Physiology </w:t>
      </w:r>
      <w:r w:rsidRPr="005D49A3">
        <w:t xml:space="preserve"> and Chronic Health Evaluation</w:t>
      </w:r>
      <w:r>
        <w:t xml:space="preserve"> </w:t>
      </w:r>
      <w:r w:rsidRPr="005D49A3">
        <w:t>II score (P &gt; 0.05). Both ICU (1.0 versus 10 days; P &lt; 0.01) and hospital length of stay (6.0</w:t>
      </w:r>
      <w:r>
        <w:t xml:space="preserve"> </w:t>
      </w:r>
      <w:r w:rsidRPr="005D49A3">
        <w:t>versus 17 days; P &lt; 0.01) after initial extubation were significantly longer in reintubated patients.ICU mortality was significantly higher in patients who failed extubation (odds ratio = 12.2, 95%confidence interval [CI] = 1.5–101; P &lt; 0.05), but there was no significant difference in hospital</w:t>
      </w:r>
      <w:r>
        <w:t xml:space="preserve"> </w:t>
      </w:r>
      <w:r w:rsidRPr="005D49A3">
        <w:t xml:space="preserve">mortality (odds ratio </w:t>
      </w:r>
      <w:r>
        <w:t>= 2.1, 95% CI = 0.8–5.4; P &lt; 0.1</w:t>
      </w:r>
      <w:r w:rsidRPr="005D49A3">
        <w:t>5). Total hospital costs (estimated from</w:t>
      </w:r>
      <w:r>
        <w:t xml:space="preserve"> d</w:t>
      </w:r>
      <w:r w:rsidRPr="005D49A3">
        <w:t xml:space="preserve">irect and indirect charges) were significantly increased by a mean of US$33,926 (95% CI =US$22,573–45,280; P &lt; 0.01). </w:t>
      </w:r>
    </w:p>
    <w:p w:rsidR="00BB6786" w:rsidRDefault="00BB6786" w:rsidP="00BB6786">
      <w:pPr>
        <w:spacing w:line="240" w:lineRule="auto"/>
        <w:jc w:val="both"/>
      </w:pPr>
      <w:r w:rsidRPr="005D49A3">
        <w:rPr>
          <w:b/>
          <w:bCs/>
        </w:rPr>
        <w:t xml:space="preserve">Conclusion: </w:t>
      </w:r>
      <w:r w:rsidRPr="005D49A3">
        <w:t>Extubation failure in a community hospital is</w:t>
      </w:r>
      <w:r>
        <w:t xml:space="preserve"> </w:t>
      </w:r>
      <w:r w:rsidRPr="005D49A3">
        <w:t>univariately associated with prolonged inpatient care and significantly increased cost.</w:t>
      </w:r>
      <w:r>
        <w:t xml:space="preserve"> </w:t>
      </w:r>
      <w:r w:rsidRPr="005D49A3">
        <w:t>Corroborating data from tertiary care centers, these adverse outcomes highlight the importance of</w:t>
      </w:r>
      <w:r>
        <w:t xml:space="preserve"> </w:t>
      </w:r>
      <w:r w:rsidRPr="005D49A3">
        <w:t>accurate predictors of extubation outcome.</w:t>
      </w:r>
    </w:p>
    <w:p w:rsidR="00BB6786" w:rsidRPr="0088618E" w:rsidRDefault="00BB6786" w:rsidP="00BB6786">
      <w:pPr>
        <w:spacing w:line="240" w:lineRule="auto"/>
        <w:jc w:val="both"/>
      </w:pPr>
      <w:r w:rsidRPr="00307E9C">
        <w:rPr>
          <w:b/>
          <w:u w:val="single"/>
        </w:rPr>
        <w:t xml:space="preserve">Answer </w:t>
      </w:r>
      <w:r w:rsidR="00D57411" w:rsidRPr="00307E9C">
        <w:rPr>
          <w:b/>
          <w:u w:val="single"/>
        </w:rPr>
        <w:t xml:space="preserve">the </w:t>
      </w:r>
      <w:r w:rsidR="00D57411">
        <w:rPr>
          <w:b/>
          <w:u w:val="single"/>
        </w:rPr>
        <w:t>following</w:t>
      </w:r>
      <w:r w:rsidR="00D57411" w:rsidRPr="00307E9C">
        <w:rPr>
          <w:b/>
          <w:u w:val="single"/>
        </w:rPr>
        <w:t xml:space="preserve"> questions</w:t>
      </w:r>
      <w:r w:rsidRPr="00307E9C">
        <w:rPr>
          <w:b/>
          <w:u w:val="single"/>
        </w:rPr>
        <w:t>:</w:t>
      </w:r>
    </w:p>
    <w:p w:rsidR="00BB6786" w:rsidRDefault="00BB6786" w:rsidP="00BB6786">
      <w:pPr>
        <w:pStyle w:val="a4"/>
        <w:numPr>
          <w:ilvl w:val="0"/>
          <w:numId w:val="9"/>
        </w:numPr>
      </w:pPr>
      <w:r>
        <w:t xml:space="preserve">What is the sample size in each of Extubation failure and successfully extubated </w:t>
      </w:r>
      <w:r w:rsidR="00D57411">
        <w:t>groups?</w:t>
      </w:r>
    </w:p>
    <w:p w:rsidR="008F59FB" w:rsidRDefault="008F59FB" w:rsidP="00BB6786">
      <w:pPr>
        <w:pStyle w:val="a4"/>
        <w:tabs>
          <w:tab w:val="left" w:pos="2865"/>
        </w:tabs>
        <w:rPr>
          <w:b/>
          <w:bCs/>
        </w:rPr>
      </w:pPr>
    </w:p>
    <w:p w:rsidR="00BB6786" w:rsidRPr="00BB6786" w:rsidRDefault="003C7253" w:rsidP="00BB6786">
      <w:pPr>
        <w:pStyle w:val="a4"/>
        <w:tabs>
          <w:tab w:val="left" w:pos="2865"/>
        </w:tabs>
        <w:rPr>
          <w:b/>
          <w:bCs/>
        </w:rPr>
      </w:pPr>
      <w:r w:rsidRPr="003C7253">
        <w:rPr>
          <w:b/>
          <w:bCs/>
          <w:u w:val="single"/>
        </w:rPr>
        <w:t>Answer</w:t>
      </w:r>
      <w:r w:rsidR="00EE0AA2" w:rsidRPr="003C7253">
        <w:rPr>
          <w:b/>
          <w:bCs/>
          <w:u w:val="single"/>
        </w:rPr>
        <w:t>:</w:t>
      </w:r>
      <w:r w:rsidR="00BB6786" w:rsidRPr="00BB6786">
        <w:rPr>
          <w:b/>
          <w:bCs/>
        </w:rPr>
        <w:t xml:space="preserve">  </w:t>
      </w:r>
      <w:r w:rsidR="009225C1">
        <w:t xml:space="preserve">Extubation failure </w:t>
      </w:r>
      <w:r w:rsidR="00BB6786" w:rsidRPr="00B143EC">
        <w:t>=</w:t>
      </w:r>
      <w:r w:rsidR="00D57411" w:rsidRPr="00B143EC">
        <w:t xml:space="preserve">60 and </w:t>
      </w:r>
      <w:r w:rsidR="00D57411">
        <w:t>successfully</w:t>
      </w:r>
      <w:r w:rsidR="009225C1">
        <w:t xml:space="preserve"> extubated </w:t>
      </w:r>
      <w:r w:rsidR="00BB6786" w:rsidRPr="00B143EC">
        <w:t>=93</w:t>
      </w:r>
      <w:r w:rsidR="00BB6786" w:rsidRPr="00BB6786">
        <w:rPr>
          <w:b/>
          <w:bCs/>
        </w:rPr>
        <w:tab/>
      </w:r>
    </w:p>
    <w:p w:rsidR="00BB6786" w:rsidRDefault="00BB6786" w:rsidP="00BB6786">
      <w:pPr>
        <w:pStyle w:val="a4"/>
        <w:tabs>
          <w:tab w:val="left" w:pos="2865"/>
        </w:tabs>
      </w:pPr>
    </w:p>
    <w:p w:rsidR="00BB6786" w:rsidRDefault="00BB6786" w:rsidP="00BB6786">
      <w:pPr>
        <w:pStyle w:val="a4"/>
        <w:numPr>
          <w:ilvl w:val="0"/>
          <w:numId w:val="9"/>
        </w:numPr>
      </w:pPr>
      <w:r>
        <w:t xml:space="preserve">On what basis the authors had </w:t>
      </w:r>
      <w:r w:rsidR="00D57411">
        <w:t>mentioned that the</w:t>
      </w:r>
      <w:r>
        <w:t xml:space="preserve"> patients groups were </w:t>
      </w:r>
      <w:r w:rsidR="00D57411">
        <w:t>similar?</w:t>
      </w:r>
    </w:p>
    <w:p w:rsidR="008F59FB" w:rsidRDefault="008F59FB" w:rsidP="00BB6786">
      <w:pPr>
        <w:pStyle w:val="a4"/>
        <w:tabs>
          <w:tab w:val="left" w:pos="7620"/>
        </w:tabs>
        <w:rPr>
          <w:b/>
          <w:bCs/>
        </w:rPr>
      </w:pPr>
    </w:p>
    <w:p w:rsidR="00BB6786" w:rsidRPr="00B143EC" w:rsidRDefault="003C7253" w:rsidP="00BB6786">
      <w:pPr>
        <w:pStyle w:val="a4"/>
        <w:tabs>
          <w:tab w:val="left" w:pos="7620"/>
        </w:tabs>
      </w:pPr>
      <w:r w:rsidRPr="003C7253">
        <w:rPr>
          <w:b/>
          <w:bCs/>
          <w:u w:val="single"/>
        </w:rPr>
        <w:t>Answer</w:t>
      </w:r>
      <w:r w:rsidR="00EE0AA2" w:rsidRPr="003C7253">
        <w:rPr>
          <w:b/>
          <w:bCs/>
          <w:u w:val="single"/>
        </w:rPr>
        <w:t>:</w:t>
      </w:r>
      <w:r w:rsidR="00EE0AA2">
        <w:rPr>
          <w:b/>
          <w:bCs/>
        </w:rPr>
        <w:t xml:space="preserve"> </w:t>
      </w:r>
      <w:r w:rsidR="00BB6786" w:rsidRPr="00BB6786">
        <w:rPr>
          <w:b/>
          <w:bCs/>
        </w:rPr>
        <w:t xml:space="preserve"> </w:t>
      </w:r>
      <w:r w:rsidR="009225C1">
        <w:rPr>
          <w:bCs/>
        </w:rPr>
        <w:t>By using   P &gt;0.05</w:t>
      </w:r>
      <w:r w:rsidR="00BB6786" w:rsidRPr="00B143EC">
        <w:t>.</w:t>
      </w:r>
      <w:r w:rsidR="00BB6786" w:rsidRPr="00B143EC">
        <w:tab/>
      </w:r>
    </w:p>
    <w:p w:rsidR="00BB6786" w:rsidRPr="00B143EC" w:rsidRDefault="00BB6786" w:rsidP="00BB6786">
      <w:pPr>
        <w:pStyle w:val="a4"/>
        <w:tabs>
          <w:tab w:val="left" w:pos="7620"/>
        </w:tabs>
      </w:pPr>
    </w:p>
    <w:p w:rsidR="009225C1" w:rsidRDefault="00BB6786" w:rsidP="009225C1">
      <w:pPr>
        <w:pStyle w:val="a4"/>
        <w:numPr>
          <w:ilvl w:val="0"/>
          <w:numId w:val="9"/>
        </w:numPr>
      </w:pPr>
      <w:r>
        <w:t xml:space="preserve">Is there a statistically significant difference in  ICU and hospital length of stay  </w:t>
      </w:r>
      <w:r w:rsidR="009225C1">
        <w:t xml:space="preserve">initial extubation in </w:t>
      </w:r>
    </w:p>
    <w:p w:rsidR="00BB6786" w:rsidRDefault="009225C1" w:rsidP="009225C1">
      <w:pPr>
        <w:pStyle w:val="a4"/>
      </w:pPr>
      <w:r>
        <w:t xml:space="preserve">re </w:t>
      </w:r>
      <w:r w:rsidR="00D57411">
        <w:t>intubated patients?</w:t>
      </w:r>
      <w:r w:rsidR="00BB6786">
        <w:t xml:space="preserve">  If yes what are the </w:t>
      </w:r>
      <w:r w:rsidR="00D57411">
        <w:t>corresponding p</w:t>
      </w:r>
      <w:r w:rsidR="00BB6786">
        <w:t>-</w:t>
      </w:r>
      <w:r w:rsidR="00D57411">
        <w:t>values?</w:t>
      </w:r>
    </w:p>
    <w:p w:rsidR="008F59FB" w:rsidRDefault="008F59FB" w:rsidP="00BB6786">
      <w:pPr>
        <w:pStyle w:val="a4"/>
        <w:rPr>
          <w:b/>
          <w:bCs/>
        </w:rPr>
      </w:pPr>
    </w:p>
    <w:p w:rsidR="00BB6786" w:rsidRPr="00B143EC" w:rsidRDefault="003C7253" w:rsidP="00BB6786">
      <w:pPr>
        <w:pStyle w:val="a4"/>
      </w:pPr>
      <w:r w:rsidRPr="003C7253">
        <w:rPr>
          <w:b/>
          <w:bCs/>
          <w:u w:val="single"/>
        </w:rPr>
        <w:lastRenderedPageBreak/>
        <w:t>Answer</w:t>
      </w:r>
      <w:r w:rsidR="00EE0AA2" w:rsidRPr="003C7253">
        <w:rPr>
          <w:b/>
          <w:bCs/>
          <w:u w:val="single"/>
        </w:rPr>
        <w:t>:</w:t>
      </w:r>
      <w:r w:rsidR="00EE0AA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225C1">
        <w:t>Y</w:t>
      </w:r>
      <w:r w:rsidR="00BB6786" w:rsidRPr="00B143EC">
        <w:t>es</w:t>
      </w:r>
      <w:r w:rsidR="00EE0AA2" w:rsidRPr="00B143EC">
        <w:t>, Both ICU (1.0 versus 10 days; P &lt; 0.01) and hospital length of stay (6.0 versus 17 days; P &lt; 0.01) after initial extubation were significantly longer in reintubated patients.</w:t>
      </w:r>
    </w:p>
    <w:p w:rsidR="00EE0AA2" w:rsidRPr="00EE0AA2" w:rsidRDefault="00EE0AA2" w:rsidP="00BB6786">
      <w:pPr>
        <w:pStyle w:val="a4"/>
        <w:rPr>
          <w:b/>
          <w:bCs/>
        </w:rPr>
      </w:pPr>
    </w:p>
    <w:p w:rsidR="00BB6786" w:rsidRDefault="00BB6786" w:rsidP="00BB6786">
      <w:pPr>
        <w:pStyle w:val="a4"/>
        <w:numPr>
          <w:ilvl w:val="0"/>
          <w:numId w:val="9"/>
        </w:numPr>
      </w:pPr>
      <w:r>
        <w:t>How to interpret</w:t>
      </w:r>
      <w:r w:rsidR="003C7253">
        <w:t xml:space="preserve"> ICU mortality odds ratio =12.2</w:t>
      </w:r>
      <w:r>
        <w:t xml:space="preserve">? </w:t>
      </w:r>
      <w:r w:rsidR="003C7253">
        <w:t>Is it statistically significant</w:t>
      </w:r>
      <w:r>
        <w:t xml:space="preserve">?  </w:t>
      </w:r>
    </w:p>
    <w:p w:rsidR="003C7253" w:rsidRDefault="003C7253" w:rsidP="00B143EC">
      <w:pPr>
        <w:pStyle w:val="a4"/>
        <w:rPr>
          <w:b/>
          <w:bCs/>
        </w:rPr>
      </w:pPr>
    </w:p>
    <w:p w:rsidR="003C7253" w:rsidRDefault="003C7253" w:rsidP="00B143EC">
      <w:pPr>
        <w:pStyle w:val="a4"/>
      </w:pPr>
      <w:r w:rsidRPr="003C7253">
        <w:rPr>
          <w:b/>
          <w:bCs/>
          <w:u w:val="single"/>
        </w:rPr>
        <w:t>Answer</w:t>
      </w:r>
      <w:r w:rsidR="00EE0AA2" w:rsidRPr="003C7253">
        <w:rPr>
          <w:b/>
          <w:bCs/>
          <w:u w:val="single"/>
        </w:rPr>
        <w:t>:</w:t>
      </w:r>
      <w:r w:rsidR="008F59FB">
        <w:t xml:space="preserve"> </w:t>
      </w:r>
      <w:r>
        <w:t xml:space="preserve">The odd s of ICU mortality is 12.2 times higher in patients who </w:t>
      </w:r>
      <w:r w:rsidR="00D57411">
        <w:t>failed extubation</w:t>
      </w:r>
      <w:r>
        <w:t xml:space="preserve">, when compared with the patients who successfully extubated. Yes the </w:t>
      </w:r>
      <w:r w:rsidR="008F59FB">
        <w:t>Odds rat</w:t>
      </w:r>
      <w:r>
        <w:t xml:space="preserve">io is statistically significant </w:t>
      </w:r>
      <w:r w:rsidR="00D57411">
        <w:t>as p</w:t>
      </w:r>
      <w:r>
        <w:t>-value is &lt;0.05.</w:t>
      </w:r>
    </w:p>
    <w:p w:rsidR="00BB6786" w:rsidRDefault="00B143EC" w:rsidP="00B143EC">
      <w:pPr>
        <w:pStyle w:val="a4"/>
      </w:pPr>
      <w:r>
        <w:t xml:space="preserve"> </w:t>
      </w:r>
    </w:p>
    <w:p w:rsidR="00EE0AA2" w:rsidRDefault="00EE0AA2" w:rsidP="00BB6786">
      <w:pPr>
        <w:pStyle w:val="a4"/>
      </w:pPr>
    </w:p>
    <w:p w:rsidR="00BB6786" w:rsidRDefault="00BB6786" w:rsidP="00BB6786">
      <w:pPr>
        <w:pStyle w:val="a4"/>
        <w:numPr>
          <w:ilvl w:val="0"/>
          <w:numId w:val="9"/>
        </w:numPr>
      </w:pPr>
      <w:r>
        <w:t>What is the interpretation of its 95% confidence interval: 1.5- 101. Why</w:t>
      </w:r>
      <w:r w:rsidR="003D29EA">
        <w:t xml:space="preserve"> this confidence interval </w:t>
      </w:r>
      <w:r>
        <w:t xml:space="preserve">is very </w:t>
      </w:r>
      <w:r w:rsidR="00D57411">
        <w:t>wide?</w:t>
      </w:r>
    </w:p>
    <w:p w:rsidR="00BB6786" w:rsidRDefault="003C7253" w:rsidP="003D29EA">
      <w:pPr>
        <w:ind w:left="720"/>
      </w:pPr>
      <w:r w:rsidRPr="003D29EA">
        <w:rPr>
          <w:b/>
          <w:bCs/>
          <w:u w:val="single"/>
        </w:rPr>
        <w:t>Answer</w:t>
      </w:r>
      <w:r w:rsidR="00EE0AA2" w:rsidRPr="003D29EA">
        <w:rPr>
          <w:b/>
          <w:bCs/>
          <w:u w:val="single"/>
        </w:rPr>
        <w:t>:</w:t>
      </w:r>
      <w:r>
        <w:t xml:space="preserve">  This study shows an odds ratio of 12.2. If this study is repeated 100 times, 95 times the odds </w:t>
      </w:r>
      <w:r w:rsidR="003D29EA">
        <w:t xml:space="preserve">  </w:t>
      </w:r>
      <w:r>
        <w:t xml:space="preserve">ratio </w:t>
      </w:r>
      <w:r w:rsidR="003D29EA">
        <w:t xml:space="preserve">   </w:t>
      </w:r>
      <w:r>
        <w:t xml:space="preserve">lies within 1.5 and 101. This indicates the odds ratio of 12.2 is not a precise estimate. </w:t>
      </w:r>
      <w:r w:rsidR="003D29EA">
        <w:t>The confidence interval is wide could be due to low sample size (60 and 93).</w:t>
      </w:r>
    </w:p>
    <w:p w:rsidR="005E1842" w:rsidRDefault="005E1842"/>
    <w:sectPr w:rsidR="005E1842" w:rsidSect="00552CD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D7"/>
    <w:multiLevelType w:val="hybridMultilevel"/>
    <w:tmpl w:val="141A9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3A3"/>
    <w:multiLevelType w:val="hybridMultilevel"/>
    <w:tmpl w:val="64884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BB0"/>
    <w:multiLevelType w:val="hybridMultilevel"/>
    <w:tmpl w:val="4080C6C2"/>
    <w:lvl w:ilvl="0" w:tplc="F24A8F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7DCE"/>
    <w:multiLevelType w:val="hybridMultilevel"/>
    <w:tmpl w:val="ED5C9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12CA"/>
    <w:multiLevelType w:val="hybridMultilevel"/>
    <w:tmpl w:val="0A163F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F428B"/>
    <w:multiLevelType w:val="hybridMultilevel"/>
    <w:tmpl w:val="2598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730A5"/>
    <w:multiLevelType w:val="hybridMultilevel"/>
    <w:tmpl w:val="58EA5A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B0D16"/>
    <w:multiLevelType w:val="hybridMultilevel"/>
    <w:tmpl w:val="6B5C015E"/>
    <w:lvl w:ilvl="0" w:tplc="260AC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9D"/>
    <w:multiLevelType w:val="hybridMultilevel"/>
    <w:tmpl w:val="E59E5C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1842"/>
    <w:rsid w:val="00021540"/>
    <w:rsid w:val="00047C0F"/>
    <w:rsid w:val="000D4862"/>
    <w:rsid w:val="001164C8"/>
    <w:rsid w:val="001538AD"/>
    <w:rsid w:val="001B20F5"/>
    <w:rsid w:val="001C01E5"/>
    <w:rsid w:val="001D1092"/>
    <w:rsid w:val="00211FEC"/>
    <w:rsid w:val="00230672"/>
    <w:rsid w:val="00277138"/>
    <w:rsid w:val="002E7385"/>
    <w:rsid w:val="00306EAB"/>
    <w:rsid w:val="003A0039"/>
    <w:rsid w:val="003C7253"/>
    <w:rsid w:val="003D11BE"/>
    <w:rsid w:val="003D29EA"/>
    <w:rsid w:val="003E358E"/>
    <w:rsid w:val="0041115F"/>
    <w:rsid w:val="00437CCE"/>
    <w:rsid w:val="00552CD4"/>
    <w:rsid w:val="005E1842"/>
    <w:rsid w:val="006D679A"/>
    <w:rsid w:val="00702040"/>
    <w:rsid w:val="007A69B8"/>
    <w:rsid w:val="008F59FB"/>
    <w:rsid w:val="0090615A"/>
    <w:rsid w:val="009225C1"/>
    <w:rsid w:val="00966CF0"/>
    <w:rsid w:val="009B738D"/>
    <w:rsid w:val="00A71E19"/>
    <w:rsid w:val="00A81137"/>
    <w:rsid w:val="00B143EC"/>
    <w:rsid w:val="00B452F1"/>
    <w:rsid w:val="00BB57CE"/>
    <w:rsid w:val="00BB6786"/>
    <w:rsid w:val="00C931FF"/>
    <w:rsid w:val="00D57411"/>
    <w:rsid w:val="00E615DD"/>
    <w:rsid w:val="00EA4C45"/>
    <w:rsid w:val="00E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2">
    <w:name w:val="Überschrift 2"/>
    <w:basedOn w:val="a"/>
    <w:next w:val="a"/>
    <w:uiPriority w:val="99"/>
    <w:rsid w:val="005E1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rschrift1">
    <w:name w:val="Überschrift 1"/>
    <w:basedOn w:val="a"/>
    <w:next w:val="a"/>
    <w:uiPriority w:val="99"/>
    <w:rsid w:val="005E1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5E1842"/>
    <w:rPr>
      <w:sz w:val="22"/>
      <w:szCs w:val="22"/>
    </w:rPr>
  </w:style>
  <w:style w:type="paragraph" w:customStyle="1" w:styleId="Default">
    <w:name w:val="Default"/>
    <w:rsid w:val="00116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1164C8"/>
    <w:rPr>
      <w:color w:val="auto"/>
    </w:rPr>
  </w:style>
  <w:style w:type="paragraph" w:styleId="a4">
    <w:name w:val="List Paragraph"/>
    <w:basedOn w:val="a"/>
    <w:uiPriority w:val="34"/>
    <w:qFormat/>
    <w:rsid w:val="00BB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Dr.Shaffi Ahamed</dc:creator>
  <cp:lastModifiedBy>AA</cp:lastModifiedBy>
  <cp:revision>2</cp:revision>
  <dcterms:created xsi:type="dcterms:W3CDTF">2013-12-02T14:50:00Z</dcterms:created>
  <dcterms:modified xsi:type="dcterms:W3CDTF">2013-12-02T14:50:00Z</dcterms:modified>
</cp:coreProperties>
</file>