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705" w:rsidRPr="001E1AFA" w:rsidRDefault="00347705" w:rsidP="008678E0">
      <w:pPr>
        <w:spacing w:after="0" w:line="240" w:lineRule="auto"/>
        <w:jc w:val="center"/>
        <w:rPr>
          <w:b/>
          <w:bCs/>
          <w:noProof/>
        </w:rPr>
      </w:pPr>
      <w:r w:rsidRPr="001E1AFA">
        <w:rPr>
          <w:b/>
          <w:bCs/>
          <w:noProof/>
        </w:rPr>
        <w:t xml:space="preserve">Tutorial CMED 305: Data interpretation </w:t>
      </w:r>
      <w:r w:rsidR="008678E0">
        <w:rPr>
          <w:b/>
          <w:bCs/>
          <w:noProof/>
        </w:rPr>
        <w:t>- Key</w:t>
      </w:r>
      <w:bookmarkStart w:id="0" w:name="_GoBack"/>
      <w:bookmarkEnd w:id="0"/>
    </w:p>
    <w:p w:rsidR="00347705" w:rsidRDefault="00347705" w:rsidP="00347705">
      <w:pPr>
        <w:spacing w:after="0" w:line="240" w:lineRule="auto"/>
        <w:rPr>
          <w:b/>
          <w:bCs/>
          <w:noProof/>
        </w:rPr>
      </w:pPr>
      <w:r w:rsidRPr="00347705">
        <w:rPr>
          <w:b/>
          <w:bCs/>
          <w:noProof/>
        </w:rPr>
        <w:t>EXERCISE I:</w:t>
      </w:r>
    </w:p>
    <w:p w:rsidR="00347705" w:rsidRPr="00347705" w:rsidRDefault="00347705" w:rsidP="00347705">
      <w:pPr>
        <w:spacing w:after="0" w:line="240" w:lineRule="auto"/>
        <w:rPr>
          <w:b/>
          <w:bCs/>
          <w:noProof/>
          <w:sz w:val="8"/>
          <w:szCs w:val="8"/>
        </w:rPr>
      </w:pPr>
    </w:p>
    <w:p w:rsidR="00347705" w:rsidRDefault="00347705" w:rsidP="00347705">
      <w:pPr>
        <w:spacing w:after="0" w:line="240" w:lineRule="auto"/>
        <w:rPr>
          <w:noProof/>
        </w:rPr>
      </w:pPr>
      <w:r>
        <w:rPr>
          <w:noProof/>
        </w:rPr>
        <w:t xml:space="preserve">The data shown in the table 1 are taken from a survey done on married women 15-45 yrs of age in a semirural village of Pakistan; to evaluate the relationship between monthly household income and maternal characteristics. </w:t>
      </w:r>
    </w:p>
    <w:p w:rsidR="00347705" w:rsidRPr="00347705" w:rsidRDefault="00347705" w:rsidP="00347705">
      <w:pPr>
        <w:spacing w:after="0" w:line="240" w:lineRule="auto"/>
        <w:rPr>
          <w:noProof/>
          <w:sz w:val="10"/>
          <w:szCs w:val="10"/>
        </w:rPr>
      </w:pPr>
    </w:p>
    <w:p w:rsidR="00044C9F" w:rsidRDefault="00347705" w:rsidP="00E958EA">
      <w:pPr>
        <w:spacing w:after="0" w:line="240" w:lineRule="auto"/>
        <w:rPr>
          <w:noProof/>
        </w:rPr>
      </w:pPr>
      <w:r>
        <w:rPr>
          <w:noProof/>
        </w:rPr>
        <w:t>Q1. What Summary statistics can be described from the attached table 1?</w:t>
      </w:r>
      <w:r w:rsidR="000E738A">
        <w:rPr>
          <w:noProof/>
        </w:rPr>
        <w:t xml:space="preserve"> </w:t>
      </w:r>
    </w:p>
    <w:p w:rsidR="00E958EA" w:rsidRDefault="00E958EA" w:rsidP="00E958EA">
      <w:pPr>
        <w:spacing w:after="0" w:line="240" w:lineRule="auto"/>
        <w:rPr>
          <w:noProof/>
        </w:rPr>
      </w:pPr>
    </w:p>
    <w:p w:rsidR="00E958EA" w:rsidRDefault="00E958EA" w:rsidP="00A632E1">
      <w:pPr>
        <w:spacing w:after="0" w:line="240" w:lineRule="auto"/>
        <w:rPr>
          <w:noProof/>
        </w:rPr>
      </w:pPr>
      <w:r w:rsidRPr="00E958EA">
        <w:rPr>
          <w:b/>
          <w:bCs/>
          <w:noProof/>
        </w:rPr>
        <w:t>Mean</w:t>
      </w:r>
      <w:r w:rsidR="00026D47">
        <w:rPr>
          <w:b/>
          <w:bCs/>
          <w:noProof/>
        </w:rPr>
        <w:t>,</w:t>
      </w:r>
      <w:r w:rsidRPr="00E958EA">
        <w:rPr>
          <w:b/>
          <w:bCs/>
          <w:noProof/>
        </w:rPr>
        <w:t xml:space="preserve"> and standrad deviation</w:t>
      </w:r>
      <w:r w:rsidR="00A632E1">
        <w:rPr>
          <w:b/>
          <w:bCs/>
          <w:noProof/>
        </w:rPr>
        <w:t>, aslo Median</w:t>
      </w:r>
      <w:r w:rsidR="00026D47">
        <w:rPr>
          <w:noProof/>
        </w:rPr>
        <w:t xml:space="preserve"> </w:t>
      </w:r>
    </w:p>
    <w:p w:rsidR="00026D47" w:rsidRDefault="00026D47" w:rsidP="00FA1717">
      <w:pPr>
        <w:spacing w:after="0" w:line="240" w:lineRule="auto"/>
        <w:rPr>
          <w:noProof/>
        </w:rPr>
      </w:pPr>
    </w:p>
    <w:p w:rsidR="00E958EA" w:rsidRDefault="00347705" w:rsidP="00347705">
      <w:pPr>
        <w:spacing w:after="0" w:line="240" w:lineRule="auto"/>
        <w:rPr>
          <w:noProof/>
        </w:rPr>
      </w:pPr>
      <w:r>
        <w:rPr>
          <w:noProof/>
        </w:rPr>
        <w:t>Q2. What is the total number of women who participated in the survey ?</w:t>
      </w:r>
      <w:r w:rsidR="00FA1717">
        <w:rPr>
          <w:noProof/>
        </w:rPr>
        <w:t xml:space="preserve"> </w:t>
      </w:r>
    </w:p>
    <w:p w:rsidR="00E958EA" w:rsidRDefault="00E958EA" w:rsidP="00347705">
      <w:pPr>
        <w:spacing w:after="0" w:line="240" w:lineRule="auto"/>
        <w:rPr>
          <w:noProof/>
        </w:rPr>
      </w:pPr>
    </w:p>
    <w:p w:rsidR="00347705" w:rsidRDefault="00FA1717" w:rsidP="00347705">
      <w:pPr>
        <w:spacing w:after="0" w:line="240" w:lineRule="auto"/>
        <w:rPr>
          <w:b/>
          <w:bCs/>
          <w:noProof/>
        </w:rPr>
      </w:pPr>
      <w:r>
        <w:rPr>
          <w:noProof/>
        </w:rPr>
        <w:t xml:space="preserve"> </w:t>
      </w:r>
      <w:r w:rsidRPr="00FA1717">
        <w:rPr>
          <w:b/>
          <w:bCs/>
          <w:noProof/>
        </w:rPr>
        <w:t>1111</w:t>
      </w:r>
      <w:r w:rsidR="0040693A">
        <w:rPr>
          <w:b/>
          <w:bCs/>
          <w:noProof/>
        </w:rPr>
        <w:t xml:space="preserve">  </w:t>
      </w:r>
    </w:p>
    <w:p w:rsidR="00121EDF" w:rsidRDefault="00121EDF" w:rsidP="00347705">
      <w:pPr>
        <w:spacing w:after="0" w:line="240" w:lineRule="auto"/>
        <w:rPr>
          <w:noProof/>
        </w:rPr>
      </w:pPr>
    </w:p>
    <w:p w:rsidR="00347705" w:rsidRDefault="00347705" w:rsidP="00347705">
      <w:pPr>
        <w:spacing w:after="0" w:line="240" w:lineRule="auto"/>
        <w:rPr>
          <w:noProof/>
        </w:rPr>
      </w:pPr>
      <w:r>
        <w:rPr>
          <w:noProof/>
        </w:rPr>
        <w:t xml:space="preserve">Q3. Interpret the maternal characteristics given in the table 1; which ones are significant and which ones are not ? </w:t>
      </w:r>
    </w:p>
    <w:p w:rsidR="0001446F" w:rsidRDefault="0001446F" w:rsidP="00347705">
      <w:pPr>
        <w:spacing w:after="0" w:line="240" w:lineRule="auto"/>
        <w:rPr>
          <w:noProof/>
        </w:rPr>
      </w:pPr>
    </w:p>
    <w:p w:rsidR="0001446F" w:rsidRPr="0001446F" w:rsidRDefault="0001446F" w:rsidP="0001446F">
      <w:pPr>
        <w:pStyle w:val="ListParagraph"/>
        <w:numPr>
          <w:ilvl w:val="0"/>
          <w:numId w:val="1"/>
        </w:numPr>
        <w:spacing w:after="0" w:line="240" w:lineRule="auto"/>
        <w:rPr>
          <w:b/>
          <w:bCs/>
          <w:noProof/>
        </w:rPr>
      </w:pPr>
      <w:r w:rsidRPr="0001446F">
        <w:rPr>
          <w:b/>
          <w:bCs/>
          <w:noProof/>
        </w:rPr>
        <w:t>Mean age of the participants was 29.28 [standard deviation (SD) 5.4] years, with a significant difference by</w:t>
      </w:r>
    </w:p>
    <w:p w:rsidR="0001446F" w:rsidRDefault="0001446F" w:rsidP="0001446F">
      <w:pPr>
        <w:spacing w:after="0" w:line="240" w:lineRule="auto"/>
        <w:rPr>
          <w:b/>
          <w:bCs/>
          <w:noProof/>
        </w:rPr>
      </w:pPr>
      <w:r w:rsidRPr="0001446F">
        <w:rPr>
          <w:b/>
          <w:bCs/>
          <w:noProof/>
        </w:rPr>
        <w:t>income. Mean crowding index for participant’s nuclear family was 5.0 (SD 2.0) in the higher income group which was not significantly different from the lower income group [4.9 (SD 1.9)] (P = 0.10).Mean gravidity and parity were significantly greater for the higher income group compared to the lower income group. Anthropometric indicators showed a better nutritional status for the higher income group compared to the lower income group, as expected. Most of the women (53.4%) in the higher income group used natural gas for cooking and most (62.2%) in the lower income group uses wood (P &lt; 0.001). In addition, frequency of cooking was also greater in the high income group (P = 0.048). A significantly greater number of households possessed animals in the high income group (36%) than the lower income group (30%) (P = 0.03)</w:t>
      </w:r>
      <w:r w:rsidR="00E958EA">
        <w:rPr>
          <w:b/>
          <w:bCs/>
          <w:noProof/>
        </w:rPr>
        <w:t>.</w:t>
      </w:r>
    </w:p>
    <w:p w:rsidR="00E958EA" w:rsidRPr="00E958EA" w:rsidRDefault="00E958EA" w:rsidP="00E958EA">
      <w:pPr>
        <w:pStyle w:val="ListParagraph"/>
        <w:numPr>
          <w:ilvl w:val="0"/>
          <w:numId w:val="1"/>
        </w:numPr>
        <w:spacing w:after="0" w:line="240" w:lineRule="auto"/>
        <w:ind w:left="0" w:firstLine="360"/>
        <w:rPr>
          <w:b/>
          <w:bCs/>
          <w:noProof/>
        </w:rPr>
      </w:pPr>
      <w:r w:rsidRPr="00E958EA">
        <w:rPr>
          <w:b/>
          <w:bCs/>
          <w:noProof/>
        </w:rPr>
        <w:t xml:space="preserve">Smoking in past pregnancy was greater in women in the higher income group but did not differ for reported current smoking status (P = 0.68). Current spousal smoking was greater in the higher income group (21.6%) compared to the lower income group (15.2%) (P = 0.007); reported use by other family members was also greater in the higher income group (11%) than the lower income group (7.5%) (P = 0.06). More participants in the higher income group lived in houses made of a mix of straw and bricks and those made only with bricks than participants from the lower income group who lived in houses made of straw and a mix of straw and bricks. </w:t>
      </w:r>
      <w:r>
        <w:rPr>
          <w:b/>
          <w:bCs/>
          <w:noProof/>
        </w:rPr>
        <w:t>T</w:t>
      </w:r>
      <w:r w:rsidRPr="00E958EA">
        <w:rPr>
          <w:b/>
          <w:bCs/>
          <w:noProof/>
        </w:rPr>
        <w:t>here were more fishermen in the lower income group (80.7%) than the higher income group (75.4%) (P = 0.04). Participants were asked about their current and past occupation, whether they were working in 2005 or had worked for money during the past pregnancy. Reported duration of daytime rest by the women ranged from none to 3 hours; women in the high income group had significantly longer daytime rest than the low income group.</w:t>
      </w:r>
    </w:p>
    <w:p w:rsidR="00FA1717" w:rsidRDefault="00FA1717" w:rsidP="00347705">
      <w:pPr>
        <w:spacing w:after="0" w:line="240" w:lineRule="auto"/>
        <w:rPr>
          <w:noProof/>
        </w:rPr>
      </w:pPr>
    </w:p>
    <w:p w:rsidR="00FA1717" w:rsidRPr="00121EDF" w:rsidRDefault="00121EDF" w:rsidP="00121EDF">
      <w:pPr>
        <w:pStyle w:val="ListParagraph"/>
        <w:numPr>
          <w:ilvl w:val="0"/>
          <w:numId w:val="1"/>
        </w:numPr>
        <w:spacing w:after="0" w:line="240" w:lineRule="auto"/>
        <w:rPr>
          <w:b/>
          <w:bCs/>
          <w:noProof/>
        </w:rPr>
      </w:pPr>
      <w:r>
        <w:rPr>
          <w:b/>
          <w:bCs/>
          <w:noProof/>
        </w:rPr>
        <w:t>When p &lt;0.05, the charachteristics are statistically signifficantly differ between two income groups.</w:t>
      </w:r>
    </w:p>
    <w:p w:rsidR="00121EDF" w:rsidRDefault="00121EDF" w:rsidP="00121EDF">
      <w:pPr>
        <w:pStyle w:val="ListParagraph"/>
        <w:spacing w:after="0" w:line="240" w:lineRule="auto"/>
        <w:rPr>
          <w:noProof/>
        </w:rPr>
      </w:pPr>
    </w:p>
    <w:p w:rsidR="00347705" w:rsidRDefault="00347705" w:rsidP="00A632E1">
      <w:pPr>
        <w:spacing w:after="0" w:line="240" w:lineRule="auto"/>
        <w:rPr>
          <w:noProof/>
        </w:rPr>
      </w:pPr>
      <w:r>
        <w:rPr>
          <w:noProof/>
        </w:rPr>
        <w:t>Q4. What is the relationship between maternal height and monthly household income?</w:t>
      </w:r>
    </w:p>
    <w:p w:rsidR="00A632E1" w:rsidRDefault="00A632E1" w:rsidP="00A632E1">
      <w:pPr>
        <w:pStyle w:val="ListParagraph"/>
        <w:spacing w:after="0" w:line="240" w:lineRule="auto"/>
        <w:ind w:left="0"/>
        <w:rPr>
          <w:noProof/>
        </w:rPr>
      </w:pPr>
    </w:p>
    <w:p w:rsidR="00026D47" w:rsidRDefault="00121EDF" w:rsidP="00A632E1">
      <w:pPr>
        <w:pStyle w:val="ListParagraph"/>
        <w:numPr>
          <w:ilvl w:val="0"/>
          <w:numId w:val="1"/>
        </w:numPr>
        <w:spacing w:after="0" w:line="240" w:lineRule="auto"/>
        <w:rPr>
          <w:b/>
          <w:bCs/>
          <w:noProof/>
        </w:rPr>
      </w:pPr>
      <w:r w:rsidRPr="00121EDF">
        <w:rPr>
          <w:b/>
          <w:bCs/>
          <w:noProof/>
        </w:rPr>
        <w:t>There is no statistically signifficant difference between m</w:t>
      </w:r>
      <w:r w:rsidR="0001446F">
        <w:rPr>
          <w:b/>
          <w:bCs/>
          <w:noProof/>
        </w:rPr>
        <w:t>aternal</w:t>
      </w:r>
      <w:r w:rsidRPr="00121EDF">
        <w:rPr>
          <w:b/>
          <w:bCs/>
          <w:noProof/>
        </w:rPr>
        <w:t xml:space="preserve"> height and monthly household income.</w:t>
      </w:r>
    </w:p>
    <w:p w:rsidR="00121EDF" w:rsidRPr="00121EDF" w:rsidRDefault="00026D47" w:rsidP="0001446F">
      <w:pPr>
        <w:pStyle w:val="ListParagraph"/>
        <w:numPr>
          <w:ilvl w:val="0"/>
          <w:numId w:val="1"/>
        </w:numPr>
        <w:spacing w:after="0" w:line="240" w:lineRule="auto"/>
        <w:rPr>
          <w:b/>
          <w:bCs/>
          <w:noProof/>
        </w:rPr>
      </w:pPr>
      <w:r>
        <w:rPr>
          <w:b/>
          <w:bCs/>
          <w:noProof/>
        </w:rPr>
        <w:t xml:space="preserve">As heights do not differ in both groups it means that income groups do not differ by chronic malnutriton.   </w:t>
      </w:r>
      <w:r w:rsidR="00121EDF" w:rsidRPr="00121EDF">
        <w:rPr>
          <w:b/>
          <w:bCs/>
          <w:noProof/>
        </w:rPr>
        <w:t xml:space="preserve"> </w:t>
      </w:r>
    </w:p>
    <w:p w:rsidR="004F2CE9" w:rsidRDefault="00A632E1">
      <w:pPr>
        <w:rPr>
          <w:noProof/>
        </w:rPr>
      </w:pPr>
      <w:r>
        <w:rPr>
          <w:noProof/>
        </w:rPr>
        <w:lastRenderedPageBreak/>
        <w:drawing>
          <wp:inline distT="0" distB="0" distL="0" distR="0">
            <wp:extent cx="5943600" cy="661733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43600" cy="6617335"/>
                    </a:xfrm>
                    <a:prstGeom prst="rect">
                      <a:avLst/>
                    </a:prstGeom>
                    <a:noFill/>
                    <a:ln w="9525">
                      <a:noFill/>
                      <a:miter lim="800000"/>
                      <a:headEnd/>
                      <a:tailEnd/>
                    </a:ln>
                  </pic:spPr>
                </pic:pic>
              </a:graphicData>
            </a:graphic>
          </wp:inline>
        </w:drawing>
      </w:r>
    </w:p>
    <w:p w:rsidR="004213A3" w:rsidRDefault="004213A3" w:rsidP="00AE6061">
      <w:pPr>
        <w:spacing w:after="0" w:line="240" w:lineRule="auto"/>
        <w:rPr>
          <w:noProof/>
        </w:rPr>
      </w:pPr>
    </w:p>
    <w:p w:rsidR="004213A3" w:rsidRDefault="004213A3" w:rsidP="00AE6061">
      <w:pPr>
        <w:spacing w:after="0" w:line="240" w:lineRule="auto"/>
        <w:rPr>
          <w:noProof/>
        </w:rPr>
      </w:pPr>
    </w:p>
    <w:p w:rsidR="004213A3" w:rsidRDefault="004213A3" w:rsidP="00AE6061">
      <w:pPr>
        <w:spacing w:after="0" w:line="240" w:lineRule="auto"/>
        <w:rPr>
          <w:noProof/>
        </w:rPr>
      </w:pPr>
    </w:p>
    <w:p w:rsidR="004213A3" w:rsidRDefault="004213A3" w:rsidP="00AE6061">
      <w:pPr>
        <w:spacing w:after="0" w:line="240" w:lineRule="auto"/>
        <w:rPr>
          <w:noProof/>
        </w:rPr>
      </w:pPr>
    </w:p>
    <w:p w:rsidR="004213A3" w:rsidRDefault="004213A3" w:rsidP="00AE6061">
      <w:pPr>
        <w:spacing w:after="0" w:line="240" w:lineRule="auto"/>
        <w:rPr>
          <w:noProof/>
        </w:rPr>
      </w:pPr>
    </w:p>
    <w:p w:rsidR="004213A3" w:rsidRDefault="004213A3" w:rsidP="00AE6061">
      <w:pPr>
        <w:spacing w:after="0" w:line="240" w:lineRule="auto"/>
        <w:rPr>
          <w:noProof/>
        </w:rPr>
      </w:pPr>
    </w:p>
    <w:p w:rsidR="004213A3" w:rsidRDefault="004213A3" w:rsidP="00AE6061">
      <w:pPr>
        <w:spacing w:after="0" w:line="240" w:lineRule="auto"/>
        <w:rPr>
          <w:noProof/>
        </w:rPr>
      </w:pPr>
    </w:p>
    <w:p w:rsidR="004213A3" w:rsidRDefault="004213A3" w:rsidP="00AE6061">
      <w:pPr>
        <w:spacing w:after="0" w:line="240" w:lineRule="auto"/>
        <w:rPr>
          <w:noProof/>
        </w:rPr>
      </w:pPr>
    </w:p>
    <w:p w:rsidR="004213A3" w:rsidRDefault="004213A3" w:rsidP="00AE6061">
      <w:pPr>
        <w:spacing w:after="0" w:line="240" w:lineRule="auto"/>
        <w:rPr>
          <w:noProof/>
        </w:rPr>
      </w:pPr>
    </w:p>
    <w:p w:rsidR="00AE6061" w:rsidRDefault="00347705" w:rsidP="00AE6061">
      <w:pPr>
        <w:spacing w:after="0" w:line="240" w:lineRule="auto"/>
        <w:rPr>
          <w:noProof/>
        </w:rPr>
      </w:pPr>
      <w:r>
        <w:rPr>
          <w:noProof/>
        </w:rPr>
        <w:t>Q5</w:t>
      </w:r>
      <w:r w:rsidR="00AE6061">
        <w:rPr>
          <w:noProof/>
        </w:rPr>
        <w:t>. Interpret the graph given below</w:t>
      </w:r>
      <w:r w:rsidR="001E1AFA">
        <w:rPr>
          <w:noProof/>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8"/>
        <w:gridCol w:w="5868"/>
      </w:tblGrid>
      <w:tr w:rsidR="00AF630A" w:rsidTr="001E1AFA">
        <w:trPr>
          <w:trHeight w:val="4517"/>
        </w:trPr>
        <w:tc>
          <w:tcPr>
            <w:tcW w:w="5148" w:type="dxa"/>
          </w:tcPr>
          <w:p w:rsidR="001E1AFA" w:rsidRDefault="00A632E1">
            <w:r>
              <w:rPr>
                <w:noProof/>
              </w:rPr>
              <w:drawing>
                <wp:inline distT="0" distB="0" distL="0" distR="0">
                  <wp:extent cx="3521075" cy="3080385"/>
                  <wp:effectExtent l="1905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521075" cy="3080385"/>
                          </a:xfrm>
                          <a:prstGeom prst="rect">
                            <a:avLst/>
                          </a:prstGeom>
                          <a:noFill/>
                          <a:ln w="9525">
                            <a:noFill/>
                            <a:miter lim="800000"/>
                            <a:headEnd/>
                            <a:tailEnd/>
                          </a:ln>
                        </pic:spPr>
                      </pic:pic>
                    </a:graphicData>
                  </a:graphic>
                </wp:inline>
              </w:drawing>
            </w:r>
          </w:p>
        </w:tc>
        <w:tc>
          <w:tcPr>
            <w:tcW w:w="5868" w:type="dxa"/>
          </w:tcPr>
          <w:p w:rsidR="001E1AFA" w:rsidRDefault="00AF630A">
            <w:r>
              <w:t>Q5a. What variable is on Y axis?</w:t>
            </w:r>
            <w:r w:rsidR="00ED3619">
              <w:t xml:space="preserve">     </w:t>
            </w:r>
            <w:r w:rsidR="00026D47" w:rsidRPr="00A632E1">
              <w:rPr>
                <w:rFonts w:ascii="Z@R765.tmp" w:hAnsi="Z@R765.tmp" w:cs="Z@R765.tmp"/>
                <w:b/>
                <w:bCs/>
                <w:color w:val="231F20"/>
                <w:sz w:val="21"/>
                <w:szCs w:val="21"/>
              </w:rPr>
              <w:t xml:space="preserve">Mean </w:t>
            </w:r>
            <w:r w:rsidR="00ED3619">
              <w:rPr>
                <w:rFonts w:ascii="Z@R765.tmp" w:hAnsi="Z@R765.tmp" w:cs="Z@R765.tmp"/>
                <w:b/>
                <w:bCs/>
                <w:color w:val="231F20"/>
                <w:sz w:val="21"/>
                <w:szCs w:val="21"/>
              </w:rPr>
              <w:t>G</w:t>
            </w:r>
            <w:r w:rsidR="00ED3619" w:rsidRPr="00ED3619">
              <w:rPr>
                <w:rFonts w:ascii="Z@R765.tmp" w:hAnsi="Z@R765.tmp" w:cs="Z@R765.tmp"/>
                <w:b/>
                <w:bCs/>
                <w:color w:val="231F20"/>
                <w:sz w:val="21"/>
                <w:szCs w:val="21"/>
              </w:rPr>
              <w:t>ravidity</w:t>
            </w:r>
          </w:p>
          <w:p w:rsidR="00ED3619" w:rsidRDefault="00AF630A" w:rsidP="00ED3619">
            <w:r>
              <w:t>Q5b. What variable is on X axis?</w:t>
            </w:r>
            <w:r w:rsidR="00ED3619">
              <w:t xml:space="preserve">    </w:t>
            </w:r>
            <w:r w:rsidR="00ED3619" w:rsidRPr="00ED3619">
              <w:rPr>
                <w:rFonts w:ascii="Z@R765.tmp" w:hAnsi="Z@R765.tmp" w:cs="Z@R765.tmp"/>
                <w:b/>
                <w:bCs/>
                <w:color w:val="231F20"/>
                <w:sz w:val="21"/>
                <w:szCs w:val="21"/>
              </w:rPr>
              <w:t>Maternal age</w:t>
            </w:r>
          </w:p>
          <w:p w:rsidR="00AF630A" w:rsidRDefault="00AF630A">
            <w:r>
              <w:t>Q5c.  What type of a relationship is seen in the graph?</w:t>
            </w:r>
          </w:p>
          <w:p w:rsidR="00ED3619" w:rsidRPr="00ED3619" w:rsidRDefault="00ED3619">
            <w:pPr>
              <w:rPr>
                <w:b/>
                <w:bCs/>
              </w:rPr>
            </w:pPr>
            <w:r w:rsidRPr="00ED3619">
              <w:rPr>
                <w:b/>
                <w:bCs/>
              </w:rPr>
              <w:t>Correlation</w:t>
            </w:r>
            <w:r w:rsidR="00026D47">
              <w:rPr>
                <w:b/>
                <w:bCs/>
              </w:rPr>
              <w:t xml:space="preserve"> between…maternal age and mean HH income </w:t>
            </w:r>
          </w:p>
          <w:p w:rsidR="00AF630A" w:rsidRDefault="00AF630A">
            <w:r>
              <w:t>Q5d. Explain the relationship.</w:t>
            </w:r>
          </w:p>
          <w:p w:rsidR="00ED3619" w:rsidRDefault="00ED3619" w:rsidP="00ED3619">
            <w:pPr>
              <w:autoSpaceDE w:val="0"/>
              <w:autoSpaceDN w:val="0"/>
              <w:adjustRightInd w:val="0"/>
              <w:spacing w:after="0" w:line="240" w:lineRule="auto"/>
              <w:rPr>
                <w:rFonts w:ascii="Z@R765.tmp" w:hAnsi="Z@R765.tmp" w:cs="Z@R765.tmp"/>
                <w:b/>
                <w:bCs/>
                <w:color w:val="231F20"/>
                <w:sz w:val="21"/>
                <w:szCs w:val="21"/>
              </w:rPr>
            </w:pPr>
            <w:r w:rsidRPr="00ED3619">
              <w:rPr>
                <w:rFonts w:ascii="Z@R765.tmp" w:hAnsi="Z@R765.tmp" w:cs="Z@R765.tmp"/>
                <w:b/>
                <w:bCs/>
                <w:color w:val="231F20"/>
                <w:sz w:val="21"/>
                <w:szCs w:val="21"/>
              </w:rPr>
              <w:t>Maternal age and gravidity were significantly correlated.</w:t>
            </w:r>
          </w:p>
          <w:p w:rsidR="0040693A" w:rsidRDefault="0040693A" w:rsidP="00ED3619">
            <w:pPr>
              <w:autoSpaceDE w:val="0"/>
              <w:autoSpaceDN w:val="0"/>
              <w:adjustRightInd w:val="0"/>
              <w:spacing w:after="0" w:line="240" w:lineRule="auto"/>
              <w:rPr>
                <w:rFonts w:ascii="Z@R765.tmp" w:hAnsi="Z@R765.tmp" w:cs="Z@R765.tmp"/>
                <w:b/>
                <w:bCs/>
                <w:color w:val="231F20"/>
                <w:sz w:val="21"/>
                <w:szCs w:val="21"/>
              </w:rPr>
            </w:pPr>
            <w:r>
              <w:rPr>
                <w:rFonts w:ascii="Z@R765.tmp" w:hAnsi="Z@R765.tmp" w:cs="Z@R765.tmp"/>
                <w:b/>
                <w:bCs/>
                <w:color w:val="231F20"/>
                <w:sz w:val="21"/>
                <w:szCs w:val="21"/>
              </w:rPr>
              <w:t>With increase in mean monthly income there is increase in maternal age.</w:t>
            </w:r>
          </w:p>
          <w:p w:rsidR="0040693A" w:rsidRDefault="0040693A" w:rsidP="00ED3619">
            <w:pPr>
              <w:autoSpaceDE w:val="0"/>
              <w:autoSpaceDN w:val="0"/>
              <w:adjustRightInd w:val="0"/>
              <w:spacing w:after="0" w:line="240" w:lineRule="auto"/>
              <w:rPr>
                <w:rFonts w:ascii="Z@R765.tmp" w:hAnsi="Z@R765.tmp" w:cs="Z@R765.tmp"/>
                <w:b/>
                <w:bCs/>
                <w:color w:val="231F20"/>
                <w:sz w:val="21"/>
                <w:szCs w:val="21"/>
              </w:rPr>
            </w:pPr>
          </w:p>
          <w:p w:rsidR="004213A3" w:rsidRDefault="004213A3"/>
          <w:p w:rsidR="00416F09" w:rsidRPr="00AF630A" w:rsidRDefault="00416F09">
            <w:pPr>
              <w:rPr>
                <w:b/>
                <w:bCs/>
              </w:rPr>
            </w:pPr>
          </w:p>
        </w:tc>
      </w:tr>
    </w:tbl>
    <w:p w:rsidR="00AE6061" w:rsidRDefault="00AE6061"/>
    <w:p w:rsidR="00416F09" w:rsidRDefault="00347705" w:rsidP="00AF630A">
      <w:pPr>
        <w:spacing w:after="0" w:line="240" w:lineRule="auto"/>
        <w:rPr>
          <w:b/>
          <w:bCs/>
        </w:rPr>
      </w:pPr>
      <w:r w:rsidRPr="001E1AFA">
        <w:rPr>
          <w:b/>
          <w:bCs/>
        </w:rPr>
        <w:t>EXERCISE II:</w:t>
      </w:r>
      <w:r w:rsidR="001E1AFA">
        <w:t xml:space="preserve"> </w:t>
      </w:r>
      <w:r>
        <w:t>Following table</w:t>
      </w:r>
      <w:r w:rsidR="00AF630A">
        <w:t>s</w:t>
      </w:r>
      <w:r>
        <w:t xml:space="preserve"> </w:t>
      </w:r>
      <w:r w:rsidR="00AF630A">
        <w:t xml:space="preserve">are </w:t>
      </w:r>
      <w:r>
        <w:t xml:space="preserve">taken form a study titled: School absenteeism among children living with smokers; </w:t>
      </w:r>
      <w:r w:rsidR="00AF630A">
        <w:t xml:space="preserve">a  survey done in USA in 2005; </w:t>
      </w:r>
      <w:r>
        <w:t xml:space="preserve">hypothesizing that children living in homes with smokers will have more </w:t>
      </w:r>
      <w:r w:rsidR="001E1AFA">
        <w:t xml:space="preserve">illness and school </w:t>
      </w:r>
      <w:r>
        <w:t>absenteeism compared to children living in homes without smokers</w:t>
      </w:r>
      <w:r w:rsidR="001E1AFA">
        <w:t xml:space="preserve">.  </w:t>
      </w:r>
      <w:r w:rsidR="00AF630A" w:rsidRPr="00AF630A">
        <w:rPr>
          <w:b/>
          <w:bCs/>
        </w:rPr>
        <w:t xml:space="preserve">Q6. </w:t>
      </w:r>
      <w:r w:rsidR="001E1AFA" w:rsidRPr="00AF630A">
        <w:rPr>
          <w:b/>
          <w:bCs/>
        </w:rPr>
        <w:t>Interpret the results in the following table</w:t>
      </w:r>
      <w:r w:rsidR="00AF630A" w:rsidRPr="00AF630A">
        <w:rPr>
          <w:b/>
          <w:bCs/>
        </w:rPr>
        <w:t>s</w:t>
      </w:r>
      <w:r w:rsidR="001E1AFA" w:rsidRPr="00AF630A">
        <w:rPr>
          <w:b/>
          <w:bCs/>
        </w:rPr>
        <w:t xml:space="preserve">. </w:t>
      </w:r>
    </w:p>
    <w:p w:rsidR="00347705" w:rsidRDefault="00416F09" w:rsidP="00AF630A">
      <w:pPr>
        <w:spacing w:after="0" w:line="240" w:lineRule="auto"/>
        <w:rPr>
          <w:i/>
          <w:iCs/>
        </w:rPr>
      </w:pPr>
      <w:r>
        <w:rPr>
          <w:i/>
          <w:iCs/>
        </w:rPr>
        <w:t>(</w:t>
      </w:r>
      <w:r w:rsidRPr="00416F09">
        <w:rPr>
          <w:i/>
          <w:iCs/>
        </w:rPr>
        <w:t>TSE=Tobacco smoke exposure</w:t>
      </w:r>
      <w:r>
        <w:rPr>
          <w:i/>
          <w:iCs/>
        </w:rPr>
        <w:t>)</w:t>
      </w:r>
      <w:r w:rsidR="001E1AFA" w:rsidRPr="00416F09">
        <w:rPr>
          <w:i/>
          <w:iCs/>
        </w:rPr>
        <w:t xml:space="preserve">  </w:t>
      </w:r>
    </w:p>
    <w:p w:rsidR="004213A3" w:rsidRDefault="004213A3" w:rsidP="00AF630A">
      <w:pPr>
        <w:spacing w:after="0" w:line="240" w:lineRule="auto"/>
        <w:rPr>
          <w:i/>
          <w:iCs/>
        </w:rPr>
      </w:pPr>
    </w:p>
    <w:p w:rsidR="004213A3" w:rsidRPr="00416F09" w:rsidRDefault="004213A3" w:rsidP="00AF630A">
      <w:pPr>
        <w:spacing w:after="0" w:line="240" w:lineRule="auto"/>
        <w:rPr>
          <w:i/>
          <w:iCs/>
        </w:rPr>
      </w:pPr>
    </w:p>
    <w:p w:rsidR="004213A3" w:rsidRPr="00AF630A" w:rsidRDefault="004213A3" w:rsidP="004213A3">
      <w:r w:rsidRPr="00AF630A">
        <w:rPr>
          <w:b/>
          <w:bCs/>
        </w:rPr>
        <w:t>Exerc</w:t>
      </w:r>
      <w:r>
        <w:rPr>
          <w:b/>
          <w:bCs/>
        </w:rPr>
        <w:t xml:space="preserve">ise II: </w:t>
      </w:r>
    </w:p>
    <w:p w:rsidR="004213A3" w:rsidRDefault="004213A3" w:rsidP="004213A3">
      <w:r w:rsidRPr="00AF630A">
        <w:t>Q6a.</w:t>
      </w:r>
      <w:r>
        <w:t xml:space="preserve"> Explain the significant relationships in Table 2 and Table 3 under Exercise II.</w:t>
      </w:r>
    </w:p>
    <w:p w:rsidR="004213A3" w:rsidRDefault="007B18B1" w:rsidP="00A632E1">
      <w:pPr>
        <w:pStyle w:val="ListParagraph"/>
        <w:numPr>
          <w:ilvl w:val="0"/>
          <w:numId w:val="1"/>
        </w:numPr>
        <w:spacing w:after="0" w:line="240" w:lineRule="auto"/>
        <w:rPr>
          <w:b/>
          <w:bCs/>
        </w:rPr>
      </w:pPr>
      <w:r w:rsidRPr="00AE7D0F">
        <w:rPr>
          <w:b/>
          <w:bCs/>
        </w:rPr>
        <w:t xml:space="preserve">The likelihood of missing any school was higher for those living in homes in which there was 1 </w:t>
      </w:r>
      <w:r w:rsidR="00A632E1">
        <w:rPr>
          <w:b/>
          <w:bCs/>
        </w:rPr>
        <w:t>person who smoked in the home (</w:t>
      </w:r>
      <w:r w:rsidRPr="00AE7D0F">
        <w:rPr>
          <w:b/>
          <w:bCs/>
        </w:rPr>
        <w:t>OR: 1.68 [95% CI: 1.20 –2.34]) than in homes where no one smoked indoors. The number of days a child was  absent  from school was significantly higher for those living in homes in which smoking took place than for those living</w:t>
      </w:r>
      <w:r w:rsidR="00AE7D0F" w:rsidRPr="00AE7D0F">
        <w:rPr>
          <w:b/>
          <w:bCs/>
        </w:rPr>
        <w:t xml:space="preserve"> </w:t>
      </w:r>
      <w:r w:rsidRPr="00AE7D0F">
        <w:rPr>
          <w:b/>
          <w:bCs/>
        </w:rPr>
        <w:t>in smoke-free homes, and greater numbers of household smokers led to increased absenteeism. Children living</w:t>
      </w:r>
      <w:r w:rsidR="00AE7D0F" w:rsidRPr="00AE7D0F">
        <w:rPr>
          <w:b/>
          <w:bCs/>
        </w:rPr>
        <w:t xml:space="preserve"> </w:t>
      </w:r>
      <w:r w:rsidRPr="00AE7D0F">
        <w:rPr>
          <w:b/>
          <w:bCs/>
        </w:rPr>
        <w:t>with exactly 1 person smoking in the home missed 1.06 (95%: CI 0.54 –1.55) additional school days per year, and</w:t>
      </w:r>
      <w:r w:rsidR="00AE7D0F" w:rsidRPr="00AE7D0F">
        <w:rPr>
          <w:b/>
          <w:bCs/>
        </w:rPr>
        <w:t xml:space="preserve"> </w:t>
      </w:r>
      <w:r w:rsidRPr="00AE7D0F">
        <w:rPr>
          <w:b/>
          <w:bCs/>
        </w:rPr>
        <w:t>those living with 2 smokers missed 1.54 (95% CI: 0.95–2.12)</w:t>
      </w:r>
      <w:r w:rsidR="00A632E1">
        <w:rPr>
          <w:b/>
          <w:bCs/>
        </w:rPr>
        <w:t xml:space="preserve"> </w:t>
      </w:r>
      <w:r w:rsidRPr="00AE7D0F">
        <w:rPr>
          <w:b/>
          <w:bCs/>
        </w:rPr>
        <w:t>more days of school per year than they would have if</w:t>
      </w:r>
      <w:r w:rsidR="00AE7D0F" w:rsidRPr="00AE7D0F">
        <w:rPr>
          <w:b/>
          <w:bCs/>
        </w:rPr>
        <w:t xml:space="preserve"> </w:t>
      </w:r>
      <w:r w:rsidRPr="00AE7D0F">
        <w:rPr>
          <w:b/>
          <w:bCs/>
        </w:rPr>
        <w:t>they lived in smoke-free homes. Among children living with exactly 1 or with at least 2 smokers, 24% (95% CI: 14 –32)</w:t>
      </w:r>
      <w:r w:rsidR="00AE7D0F" w:rsidRPr="00AE7D0F">
        <w:rPr>
          <w:b/>
          <w:bCs/>
        </w:rPr>
        <w:t xml:space="preserve"> </w:t>
      </w:r>
      <w:r w:rsidRPr="00AE7D0F">
        <w:rPr>
          <w:b/>
          <w:bCs/>
        </w:rPr>
        <w:t>and 34% (95% CI: 24–43), respectively, of school days missed were attributable to residents’ smoking.</w:t>
      </w:r>
    </w:p>
    <w:p w:rsidR="00AE7D0F" w:rsidRPr="00874711" w:rsidRDefault="00AE7D0F" w:rsidP="00A632E1">
      <w:pPr>
        <w:pStyle w:val="ListParagraph"/>
        <w:numPr>
          <w:ilvl w:val="0"/>
          <w:numId w:val="1"/>
        </w:numPr>
        <w:spacing w:after="0" w:line="240" w:lineRule="auto"/>
      </w:pPr>
      <w:r w:rsidRPr="00874711">
        <w:rPr>
          <w:b/>
          <w:bCs/>
        </w:rPr>
        <w:t>Living with a smoker was associated with both of measures of respiratory infection</w:t>
      </w:r>
      <w:r w:rsidR="00874711" w:rsidRPr="00874711">
        <w:rPr>
          <w:b/>
          <w:bCs/>
        </w:rPr>
        <w:t xml:space="preserve">. </w:t>
      </w:r>
      <w:r w:rsidRPr="00874711">
        <w:rPr>
          <w:b/>
          <w:bCs/>
        </w:rPr>
        <w:t xml:space="preserve">The likelihood that a child had more than 2 ear infections in the previous 12 months increased with the number of residents smoking in the household, and was  significantly higher among children with at least 2 people who smoked in the home (OR: 2.65 [95% CI: 1.36 –5.16]). </w:t>
      </w:r>
    </w:p>
    <w:p w:rsidR="00874711" w:rsidRDefault="00874711" w:rsidP="00874711">
      <w:pPr>
        <w:spacing w:after="0" w:line="240" w:lineRule="auto"/>
      </w:pPr>
    </w:p>
    <w:p w:rsidR="00874711" w:rsidRDefault="00874711" w:rsidP="00874711">
      <w:pPr>
        <w:spacing w:after="0" w:line="240" w:lineRule="auto"/>
      </w:pPr>
    </w:p>
    <w:p w:rsidR="001E1AFA" w:rsidRDefault="004213A3" w:rsidP="004213A3">
      <w:pPr>
        <w:spacing w:after="0" w:line="240" w:lineRule="auto"/>
      </w:pPr>
      <w:r>
        <w:lastRenderedPageBreak/>
        <w:t>Q6b. Explain the insignificant relationships in Table 2and 3.</w:t>
      </w:r>
    </w:p>
    <w:p w:rsidR="004213A3" w:rsidRDefault="004213A3" w:rsidP="004213A3">
      <w:pPr>
        <w:spacing w:after="0" w:line="240" w:lineRule="auto"/>
      </w:pPr>
    </w:p>
    <w:p w:rsidR="00AE7D0F" w:rsidRDefault="00AE7D0F" w:rsidP="00AE7D0F">
      <w:pPr>
        <w:pStyle w:val="ListParagraph"/>
        <w:numPr>
          <w:ilvl w:val="0"/>
          <w:numId w:val="1"/>
        </w:numPr>
        <w:spacing w:after="0" w:line="240" w:lineRule="auto"/>
        <w:rPr>
          <w:b/>
          <w:bCs/>
        </w:rPr>
      </w:pPr>
      <w:r w:rsidRPr="00AE7D0F">
        <w:rPr>
          <w:b/>
          <w:bCs/>
        </w:rPr>
        <w:t xml:space="preserve">The number of TSE attributable days a child was absent from school was not significantly different for those living in homes in </w:t>
      </w:r>
      <w:r>
        <w:rPr>
          <w:b/>
          <w:bCs/>
        </w:rPr>
        <w:t>with</w:t>
      </w:r>
      <w:r w:rsidRPr="00AE7D0F">
        <w:rPr>
          <w:b/>
          <w:bCs/>
        </w:rPr>
        <w:t xml:space="preserve"> 1 smoker than for those living in smoke-free homes.</w:t>
      </w:r>
    </w:p>
    <w:p w:rsidR="00874711" w:rsidRPr="00874711" w:rsidRDefault="00874711" w:rsidP="00A632E1">
      <w:pPr>
        <w:pStyle w:val="ListParagraph"/>
        <w:numPr>
          <w:ilvl w:val="0"/>
          <w:numId w:val="1"/>
        </w:numPr>
        <w:spacing w:after="0" w:line="240" w:lineRule="auto"/>
        <w:rPr>
          <w:b/>
          <w:bCs/>
        </w:rPr>
      </w:pPr>
      <w:r w:rsidRPr="00874711">
        <w:rPr>
          <w:b/>
          <w:bCs/>
        </w:rPr>
        <w:t>Reports of a chest infection in the 2 weeks before the interview were similar for children with 0 or 1 residents smoking in the home</w:t>
      </w:r>
      <w:r>
        <w:rPr>
          <w:b/>
          <w:bCs/>
        </w:rPr>
        <w:t xml:space="preserve">. </w:t>
      </w:r>
      <w:r w:rsidRPr="00874711">
        <w:rPr>
          <w:b/>
          <w:bCs/>
        </w:rPr>
        <w:t xml:space="preserve">An apparent relationship between living with 1 person smoking in the home and fair or poor selfreported health status was not statistically significant at the P </w:t>
      </w:r>
      <w:r>
        <w:rPr>
          <w:b/>
          <w:bCs/>
        </w:rPr>
        <w:t>&lt; 0</w:t>
      </w:r>
      <w:r w:rsidRPr="00874711">
        <w:rPr>
          <w:b/>
          <w:bCs/>
        </w:rPr>
        <w:t>.05 level (OR: 2.11 [95% CI: 0.93– 4.79]). We were unable to detect any relationship between household smoking and prevalent asthma or asthma attacks among children with asthma. As hypothesized, we found no association between household smoking and whether the child had an episode of vomiting/diarrhea in the 2 weeks before the interview.</w:t>
      </w:r>
    </w:p>
    <w:p w:rsidR="00AE7D0F" w:rsidRPr="00AE7D0F" w:rsidRDefault="00AE7D0F" w:rsidP="00874711">
      <w:pPr>
        <w:pStyle w:val="ListParagraph"/>
        <w:spacing w:after="0" w:line="240" w:lineRule="auto"/>
        <w:rPr>
          <w:b/>
          <w:bCs/>
        </w:rPr>
      </w:pPr>
    </w:p>
    <w:p w:rsidR="00AE7D0F" w:rsidRDefault="00AE7D0F" w:rsidP="00AE7D0F">
      <w:pPr>
        <w:spacing w:after="0" w:line="240" w:lineRule="auto"/>
      </w:pPr>
    </w:p>
    <w:p w:rsidR="00347705" w:rsidRDefault="00A632E1">
      <w:r>
        <w:rPr>
          <w:noProof/>
        </w:rPr>
        <w:drawing>
          <wp:inline distT="0" distB="0" distL="0" distR="0">
            <wp:extent cx="5871210" cy="188468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871210" cy="1884680"/>
                    </a:xfrm>
                    <a:prstGeom prst="rect">
                      <a:avLst/>
                    </a:prstGeom>
                    <a:noFill/>
                    <a:ln w="9525">
                      <a:noFill/>
                      <a:miter lim="800000"/>
                      <a:headEnd/>
                      <a:tailEnd/>
                    </a:ln>
                  </pic:spPr>
                </pic:pic>
              </a:graphicData>
            </a:graphic>
          </wp:inline>
        </w:drawing>
      </w:r>
    </w:p>
    <w:p w:rsidR="00AF630A" w:rsidRDefault="00AF630A"/>
    <w:p w:rsidR="00AF630A" w:rsidRDefault="00A632E1">
      <w:r>
        <w:rPr>
          <w:noProof/>
        </w:rPr>
        <w:drawing>
          <wp:inline distT="0" distB="0" distL="0" distR="0">
            <wp:extent cx="5967730" cy="19970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967730" cy="1997075"/>
                    </a:xfrm>
                    <a:prstGeom prst="rect">
                      <a:avLst/>
                    </a:prstGeom>
                    <a:noFill/>
                    <a:ln w="9525">
                      <a:noFill/>
                      <a:miter lim="800000"/>
                      <a:headEnd/>
                      <a:tailEnd/>
                    </a:ln>
                  </pic:spPr>
                </pic:pic>
              </a:graphicData>
            </a:graphic>
          </wp:inline>
        </w:drawing>
      </w:r>
    </w:p>
    <w:p w:rsidR="00874711" w:rsidRDefault="00874711"/>
    <w:p w:rsidR="00874711" w:rsidRDefault="00874711"/>
    <w:p w:rsidR="00A632E1" w:rsidRDefault="00A632E1"/>
    <w:p w:rsidR="00A632E1" w:rsidRDefault="00A632E1"/>
    <w:p w:rsidR="00A632E1" w:rsidRDefault="00A632E1"/>
    <w:p w:rsidR="00416F09" w:rsidRPr="00874711" w:rsidRDefault="00DD4CEB" w:rsidP="00DD4CEB">
      <w:pPr>
        <w:rPr>
          <w:sz w:val="20"/>
          <w:szCs w:val="20"/>
        </w:rPr>
      </w:pPr>
      <w:r w:rsidRPr="00874711">
        <w:rPr>
          <w:sz w:val="20"/>
          <w:szCs w:val="20"/>
        </w:rPr>
        <w:lastRenderedPageBreak/>
        <w:t xml:space="preserve">Q7. </w:t>
      </w:r>
      <w:r w:rsidR="00416F09" w:rsidRPr="00874711">
        <w:rPr>
          <w:sz w:val="20"/>
          <w:szCs w:val="20"/>
        </w:rPr>
        <w:t xml:space="preserve">Please read the following table taken from a case control study and explain the significant </w:t>
      </w:r>
      <w:r w:rsidRPr="00874711">
        <w:rPr>
          <w:sz w:val="20"/>
          <w:szCs w:val="20"/>
        </w:rPr>
        <w:t xml:space="preserve">&amp; </w:t>
      </w:r>
      <w:r w:rsidR="00416F09" w:rsidRPr="00874711">
        <w:rPr>
          <w:sz w:val="20"/>
          <w:szCs w:val="20"/>
        </w:rPr>
        <w:t>insignificant relationships</w:t>
      </w:r>
    </w:p>
    <w:p w:rsidR="00874711" w:rsidRDefault="00874711" w:rsidP="00DD4CEB">
      <w:pPr>
        <w:rPr>
          <w:b/>
          <w:bCs/>
          <w:sz w:val="20"/>
          <w:szCs w:val="20"/>
        </w:rPr>
      </w:pPr>
    </w:p>
    <w:p w:rsidR="00874711" w:rsidRDefault="00874711" w:rsidP="00A632E1">
      <w:pPr>
        <w:pStyle w:val="ListParagraph"/>
        <w:numPr>
          <w:ilvl w:val="0"/>
          <w:numId w:val="1"/>
        </w:numPr>
        <w:spacing w:after="0" w:line="240" w:lineRule="auto"/>
        <w:rPr>
          <w:b/>
          <w:bCs/>
        </w:rPr>
      </w:pPr>
      <w:r w:rsidRPr="00874711">
        <w:rPr>
          <w:b/>
          <w:bCs/>
        </w:rPr>
        <w:t xml:space="preserve">Unsafe storage of both chemicals and medicines was 3.5 times </w:t>
      </w:r>
      <w:r w:rsidR="00364D14">
        <w:rPr>
          <w:b/>
          <w:bCs/>
        </w:rPr>
        <w:t xml:space="preserve">odds of </w:t>
      </w:r>
      <w:r w:rsidRPr="00874711">
        <w:rPr>
          <w:b/>
          <w:bCs/>
        </w:rPr>
        <w:t>unintentional poisoning. Poisoning was significantly associated with storage of kerosene and petroleum oils in soft drink bottles (mOR</w:t>
      </w:r>
      <w:r w:rsidR="00E66DF7">
        <w:rPr>
          <w:b/>
          <w:bCs/>
        </w:rPr>
        <w:t>=</w:t>
      </w:r>
      <w:r w:rsidRPr="00874711">
        <w:rPr>
          <w:b/>
          <w:bCs/>
        </w:rPr>
        <w:t>4.3, 95% CI 2.6 to 7.1), and child’s</w:t>
      </w:r>
      <w:r>
        <w:rPr>
          <w:b/>
          <w:bCs/>
        </w:rPr>
        <w:t xml:space="preserve"> </w:t>
      </w:r>
      <w:r w:rsidRPr="00874711">
        <w:rPr>
          <w:b/>
          <w:bCs/>
        </w:rPr>
        <w:t>behaviour reported as aggressive by parents (mOR</w:t>
      </w:r>
      <w:r w:rsidR="00E66DF7">
        <w:rPr>
          <w:b/>
          <w:bCs/>
        </w:rPr>
        <w:t>=</w:t>
      </w:r>
      <w:r w:rsidRPr="00874711">
        <w:rPr>
          <w:b/>
          <w:bCs/>
        </w:rPr>
        <w:t>6.6, 95% CI 3.9 to 11.3). Both previous poisoning and medicine users at home were 5 and 1.5 times more likely to be associated with poisoning, respectively. Mother’s education level &lt;10 years (mOR</w:t>
      </w:r>
      <w:r w:rsidR="00E66DF7">
        <w:rPr>
          <w:b/>
          <w:bCs/>
        </w:rPr>
        <w:t>=</w:t>
      </w:r>
      <w:r w:rsidRPr="00874711">
        <w:rPr>
          <w:b/>
          <w:bCs/>
        </w:rPr>
        <w:t>2.4, 95% CI 1.2 to  4.8) and no formal education (mOR</w:t>
      </w:r>
      <w:r w:rsidR="00E66DF7">
        <w:rPr>
          <w:b/>
          <w:bCs/>
        </w:rPr>
        <w:t>=</w:t>
      </w:r>
      <w:r w:rsidRPr="00874711">
        <w:rPr>
          <w:b/>
          <w:bCs/>
        </w:rPr>
        <w:t>3.8, 95% CI 1.9 to 7.3) were significantly associated with childhood poisoning</w:t>
      </w:r>
      <w:r w:rsidR="00364D14">
        <w:rPr>
          <w:b/>
          <w:bCs/>
        </w:rPr>
        <w:t xml:space="preserve"> event</w:t>
      </w:r>
      <w:r w:rsidRPr="00874711">
        <w:rPr>
          <w:b/>
          <w:bCs/>
        </w:rPr>
        <w:t>.</w:t>
      </w:r>
    </w:p>
    <w:p w:rsidR="0059056D" w:rsidRDefault="0059056D" w:rsidP="00E66DF7">
      <w:pPr>
        <w:pStyle w:val="ListParagraph"/>
        <w:numPr>
          <w:ilvl w:val="0"/>
          <w:numId w:val="1"/>
        </w:numPr>
        <w:spacing w:after="0" w:line="240" w:lineRule="auto"/>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9"/>
      </w:tblGrid>
      <w:tr w:rsidR="00E66DF7" w:rsidRPr="00DC067E" w:rsidTr="00E66DF7">
        <w:tc>
          <w:tcPr>
            <w:tcW w:w="8659" w:type="dxa"/>
          </w:tcPr>
          <w:p w:rsidR="00E66DF7" w:rsidRPr="00DC067E" w:rsidRDefault="00A632E1">
            <w:pPr>
              <w:rPr>
                <w:sz w:val="20"/>
                <w:szCs w:val="20"/>
              </w:rPr>
            </w:pPr>
            <w:r>
              <w:rPr>
                <w:noProof/>
                <w:sz w:val="20"/>
                <w:szCs w:val="20"/>
              </w:rPr>
              <w:lastRenderedPageBreak/>
              <w:drawing>
                <wp:inline distT="0" distB="0" distL="0" distR="0">
                  <wp:extent cx="5342255" cy="766826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5342255" cy="7668260"/>
                          </a:xfrm>
                          <a:prstGeom prst="rect">
                            <a:avLst/>
                          </a:prstGeom>
                          <a:noFill/>
                          <a:ln w="9525">
                            <a:noFill/>
                            <a:miter lim="800000"/>
                            <a:headEnd/>
                            <a:tailEnd/>
                          </a:ln>
                        </pic:spPr>
                      </pic:pic>
                    </a:graphicData>
                  </a:graphic>
                </wp:inline>
              </w:drawing>
            </w:r>
          </w:p>
        </w:tc>
      </w:tr>
    </w:tbl>
    <w:p w:rsidR="00DC067E" w:rsidRDefault="00DC067E">
      <w:pPr>
        <w:rPr>
          <w:sz w:val="20"/>
          <w:szCs w:val="20"/>
        </w:rPr>
      </w:pPr>
    </w:p>
    <w:p w:rsidR="00E66DF7" w:rsidRDefault="00E66DF7" w:rsidP="00E66DF7">
      <w:pPr>
        <w:rPr>
          <w:sz w:val="20"/>
          <w:szCs w:val="20"/>
        </w:rPr>
      </w:pPr>
      <w:r w:rsidRPr="00DC067E">
        <w:rPr>
          <w:sz w:val="20"/>
          <w:szCs w:val="20"/>
        </w:rPr>
        <w:lastRenderedPageBreak/>
        <w:t xml:space="preserve">Q8. </w:t>
      </w:r>
      <w:r>
        <w:rPr>
          <w:sz w:val="20"/>
          <w:szCs w:val="20"/>
        </w:rPr>
        <w:t xml:space="preserve"> </w:t>
      </w:r>
      <w:r w:rsidRPr="00DC067E">
        <w:rPr>
          <w:sz w:val="20"/>
          <w:szCs w:val="20"/>
        </w:rPr>
        <w:t>Make a 2x2 table for age groups at cutoff of 36 months and calculate 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440"/>
        <w:gridCol w:w="1530"/>
      </w:tblGrid>
      <w:tr w:rsidR="00D035AA" w:rsidTr="0040693A">
        <w:tc>
          <w:tcPr>
            <w:tcW w:w="1818" w:type="dxa"/>
          </w:tcPr>
          <w:p w:rsidR="00D035AA" w:rsidRPr="0040693A" w:rsidRDefault="00D035AA" w:rsidP="00E66DF7">
            <w:pPr>
              <w:rPr>
                <w:sz w:val="20"/>
                <w:szCs w:val="20"/>
              </w:rPr>
            </w:pPr>
          </w:p>
        </w:tc>
        <w:tc>
          <w:tcPr>
            <w:tcW w:w="1440" w:type="dxa"/>
          </w:tcPr>
          <w:p w:rsidR="00D035AA" w:rsidRPr="0040693A" w:rsidRDefault="00D035AA" w:rsidP="0040693A">
            <w:pPr>
              <w:jc w:val="center"/>
              <w:rPr>
                <w:sz w:val="20"/>
                <w:szCs w:val="20"/>
              </w:rPr>
            </w:pPr>
            <w:r w:rsidRPr="0040693A">
              <w:rPr>
                <w:sz w:val="20"/>
                <w:szCs w:val="20"/>
              </w:rPr>
              <w:t>Cases</w:t>
            </w:r>
          </w:p>
        </w:tc>
        <w:tc>
          <w:tcPr>
            <w:tcW w:w="1530" w:type="dxa"/>
          </w:tcPr>
          <w:p w:rsidR="00D035AA" w:rsidRPr="0040693A" w:rsidRDefault="00D035AA" w:rsidP="0040693A">
            <w:pPr>
              <w:jc w:val="center"/>
              <w:rPr>
                <w:sz w:val="20"/>
                <w:szCs w:val="20"/>
              </w:rPr>
            </w:pPr>
            <w:r w:rsidRPr="0040693A">
              <w:rPr>
                <w:sz w:val="20"/>
                <w:szCs w:val="20"/>
              </w:rPr>
              <w:t>Controls</w:t>
            </w:r>
          </w:p>
        </w:tc>
      </w:tr>
      <w:tr w:rsidR="00D035AA" w:rsidTr="0040693A">
        <w:tc>
          <w:tcPr>
            <w:tcW w:w="1818" w:type="dxa"/>
          </w:tcPr>
          <w:p w:rsidR="00D035AA" w:rsidRPr="0040693A" w:rsidRDefault="00D035AA" w:rsidP="00D035AA">
            <w:pPr>
              <w:rPr>
                <w:sz w:val="20"/>
                <w:szCs w:val="20"/>
              </w:rPr>
            </w:pPr>
            <w:r w:rsidRPr="0040693A">
              <w:rPr>
                <w:sz w:val="20"/>
                <w:szCs w:val="20"/>
              </w:rPr>
              <w:t>≤ 36 months old</w:t>
            </w:r>
          </w:p>
        </w:tc>
        <w:tc>
          <w:tcPr>
            <w:tcW w:w="1440" w:type="dxa"/>
            <w:vAlign w:val="center"/>
          </w:tcPr>
          <w:p w:rsidR="00D035AA" w:rsidRPr="0040693A" w:rsidRDefault="00D035AA" w:rsidP="0040693A">
            <w:pPr>
              <w:jc w:val="center"/>
              <w:rPr>
                <w:sz w:val="20"/>
                <w:szCs w:val="20"/>
              </w:rPr>
            </w:pPr>
            <w:r w:rsidRPr="0040693A">
              <w:rPr>
                <w:sz w:val="20"/>
                <w:szCs w:val="20"/>
              </w:rPr>
              <w:t>85</w:t>
            </w:r>
          </w:p>
        </w:tc>
        <w:tc>
          <w:tcPr>
            <w:tcW w:w="1530" w:type="dxa"/>
            <w:vAlign w:val="center"/>
          </w:tcPr>
          <w:p w:rsidR="00D035AA" w:rsidRPr="0040693A" w:rsidRDefault="00D035AA" w:rsidP="0040693A">
            <w:pPr>
              <w:jc w:val="center"/>
              <w:rPr>
                <w:sz w:val="20"/>
                <w:szCs w:val="20"/>
              </w:rPr>
            </w:pPr>
            <w:r w:rsidRPr="0040693A">
              <w:rPr>
                <w:sz w:val="20"/>
                <w:szCs w:val="20"/>
              </w:rPr>
              <w:t>264</w:t>
            </w:r>
          </w:p>
        </w:tc>
      </w:tr>
      <w:tr w:rsidR="00D035AA" w:rsidTr="0040693A">
        <w:tc>
          <w:tcPr>
            <w:tcW w:w="1818" w:type="dxa"/>
          </w:tcPr>
          <w:p w:rsidR="00D035AA" w:rsidRPr="0040693A" w:rsidRDefault="00D035AA" w:rsidP="00D035AA">
            <w:pPr>
              <w:rPr>
                <w:sz w:val="20"/>
                <w:szCs w:val="20"/>
              </w:rPr>
            </w:pPr>
            <w:r w:rsidRPr="0040693A">
              <w:rPr>
                <w:sz w:val="20"/>
                <w:szCs w:val="20"/>
              </w:rPr>
              <w:t>&gt; 36 months old</w:t>
            </w:r>
          </w:p>
        </w:tc>
        <w:tc>
          <w:tcPr>
            <w:tcW w:w="1440" w:type="dxa"/>
            <w:vAlign w:val="center"/>
          </w:tcPr>
          <w:p w:rsidR="00D035AA" w:rsidRPr="0040693A" w:rsidRDefault="00D035AA" w:rsidP="0040693A">
            <w:pPr>
              <w:jc w:val="center"/>
              <w:rPr>
                <w:sz w:val="20"/>
                <w:szCs w:val="20"/>
              </w:rPr>
            </w:pPr>
            <w:r w:rsidRPr="0040693A">
              <w:rPr>
                <w:sz w:val="20"/>
                <w:szCs w:val="20"/>
              </w:rPr>
              <w:t>35</w:t>
            </w:r>
          </w:p>
        </w:tc>
        <w:tc>
          <w:tcPr>
            <w:tcW w:w="1530" w:type="dxa"/>
            <w:vAlign w:val="center"/>
          </w:tcPr>
          <w:p w:rsidR="00D035AA" w:rsidRPr="0040693A" w:rsidRDefault="00D035AA" w:rsidP="0040693A">
            <w:pPr>
              <w:jc w:val="center"/>
              <w:rPr>
                <w:sz w:val="20"/>
                <w:szCs w:val="20"/>
              </w:rPr>
            </w:pPr>
            <w:r w:rsidRPr="0040693A">
              <w:rPr>
                <w:sz w:val="20"/>
                <w:szCs w:val="20"/>
              </w:rPr>
              <w:t>96</w:t>
            </w:r>
          </w:p>
        </w:tc>
      </w:tr>
    </w:tbl>
    <w:p w:rsidR="00E66DF7" w:rsidRDefault="00E66DF7" w:rsidP="00E66DF7">
      <w:pPr>
        <w:rPr>
          <w:sz w:val="20"/>
          <w:szCs w:val="20"/>
        </w:rPr>
      </w:pPr>
    </w:p>
    <w:p w:rsidR="0059056D" w:rsidRPr="00D035AA" w:rsidRDefault="00407656" w:rsidP="00E66DF7">
      <w:pPr>
        <w:rPr>
          <w:b/>
          <w:bCs/>
          <w:sz w:val="20"/>
          <w:szCs w:val="20"/>
        </w:rPr>
      </w:pPr>
      <w:r>
        <w:rPr>
          <w:rFonts w:cs="Calibri"/>
          <w:b/>
          <w:bCs/>
          <w:color w:val="2A2A2A"/>
          <w:sz w:val="20"/>
          <w:szCs w:val="20"/>
          <w:shd w:val="clear" w:color="auto" w:fill="FFFFFF"/>
        </w:rPr>
        <w:t>OR = 0.88 (95%CI = 0.55 - 1.43)    p = 0.59</w:t>
      </w:r>
    </w:p>
    <w:p w:rsidR="00E66DF7" w:rsidRDefault="00E66DF7">
      <w:pPr>
        <w:rPr>
          <w:sz w:val="20"/>
          <w:szCs w:val="20"/>
        </w:rPr>
      </w:pPr>
    </w:p>
    <w:sectPr w:rsidR="00E66DF7" w:rsidSect="00347705">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F98" w:rsidRDefault="00E52F98" w:rsidP="00347705">
      <w:pPr>
        <w:spacing w:after="0" w:line="240" w:lineRule="auto"/>
      </w:pPr>
      <w:r>
        <w:separator/>
      </w:r>
    </w:p>
  </w:endnote>
  <w:endnote w:type="continuationSeparator" w:id="0">
    <w:p w:rsidR="00E52F98" w:rsidRDefault="00E52F98" w:rsidP="00347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R765.tmp">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705" w:rsidRDefault="00E52F98">
    <w:pPr>
      <w:pStyle w:val="Footer"/>
      <w:jc w:val="right"/>
    </w:pPr>
    <w:r>
      <w:fldChar w:fldCharType="begin"/>
    </w:r>
    <w:r>
      <w:instrText xml:space="preserve"> PAGE   \* MERGEFORMAT </w:instrText>
    </w:r>
    <w:r>
      <w:fldChar w:fldCharType="separate"/>
    </w:r>
    <w:r w:rsidR="008678E0">
      <w:rPr>
        <w:noProof/>
      </w:rPr>
      <w:t>1</w:t>
    </w:r>
    <w:r>
      <w:rPr>
        <w:noProof/>
      </w:rPr>
      <w:fldChar w:fldCharType="end"/>
    </w:r>
  </w:p>
  <w:p w:rsidR="00347705" w:rsidRDefault="003477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F98" w:rsidRDefault="00E52F98" w:rsidP="00347705">
      <w:pPr>
        <w:spacing w:after="0" w:line="240" w:lineRule="auto"/>
      </w:pPr>
      <w:r>
        <w:separator/>
      </w:r>
    </w:p>
  </w:footnote>
  <w:footnote w:type="continuationSeparator" w:id="0">
    <w:p w:rsidR="00E52F98" w:rsidRDefault="00E52F98" w:rsidP="003477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AFA" w:rsidRDefault="001E1A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E70F70"/>
    <w:multiLevelType w:val="hybridMultilevel"/>
    <w:tmpl w:val="2BF81CFC"/>
    <w:lvl w:ilvl="0" w:tplc="EBEE9ED8">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1C0C5B"/>
    <w:multiLevelType w:val="hybridMultilevel"/>
    <w:tmpl w:val="BA56F1CA"/>
    <w:lvl w:ilvl="0" w:tplc="D7100B8E">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F10C8"/>
    <w:rsid w:val="0001446F"/>
    <w:rsid w:val="00026D47"/>
    <w:rsid w:val="00044C9F"/>
    <w:rsid w:val="000C236C"/>
    <w:rsid w:val="000E738A"/>
    <w:rsid w:val="00121EDF"/>
    <w:rsid w:val="00127B7E"/>
    <w:rsid w:val="001E1AFA"/>
    <w:rsid w:val="002E2AC0"/>
    <w:rsid w:val="00347705"/>
    <w:rsid w:val="0036381E"/>
    <w:rsid w:val="00364D14"/>
    <w:rsid w:val="00387C23"/>
    <w:rsid w:val="0040693A"/>
    <w:rsid w:val="00407656"/>
    <w:rsid w:val="00416F09"/>
    <w:rsid w:val="004213A3"/>
    <w:rsid w:val="00494091"/>
    <w:rsid w:val="004A6067"/>
    <w:rsid w:val="004F10C8"/>
    <w:rsid w:val="004F2CE9"/>
    <w:rsid w:val="0059056D"/>
    <w:rsid w:val="005E7C79"/>
    <w:rsid w:val="007B18B1"/>
    <w:rsid w:val="007F7EFB"/>
    <w:rsid w:val="008678E0"/>
    <w:rsid w:val="00874711"/>
    <w:rsid w:val="009C599C"/>
    <w:rsid w:val="00A632E1"/>
    <w:rsid w:val="00AB32BC"/>
    <w:rsid w:val="00AE6061"/>
    <w:rsid w:val="00AE7D0F"/>
    <w:rsid w:val="00AF35C8"/>
    <w:rsid w:val="00AF630A"/>
    <w:rsid w:val="00AF653A"/>
    <w:rsid w:val="00B735AD"/>
    <w:rsid w:val="00C577C6"/>
    <w:rsid w:val="00D035AA"/>
    <w:rsid w:val="00D46338"/>
    <w:rsid w:val="00DC067E"/>
    <w:rsid w:val="00DD4CEB"/>
    <w:rsid w:val="00DF1C5D"/>
    <w:rsid w:val="00E22611"/>
    <w:rsid w:val="00E52F98"/>
    <w:rsid w:val="00E66DF7"/>
    <w:rsid w:val="00E958EA"/>
    <w:rsid w:val="00ED3619"/>
    <w:rsid w:val="00F2579A"/>
    <w:rsid w:val="00FA1717"/>
    <w:rsid w:val="00FB23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69CFC4-6E94-424E-B558-AB374CCAA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CE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0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0C8"/>
    <w:rPr>
      <w:rFonts w:ascii="Tahoma" w:hAnsi="Tahoma" w:cs="Tahoma"/>
      <w:sz w:val="16"/>
      <w:szCs w:val="16"/>
    </w:rPr>
  </w:style>
  <w:style w:type="paragraph" w:styleId="Header">
    <w:name w:val="header"/>
    <w:basedOn w:val="Normal"/>
    <w:link w:val="HeaderChar"/>
    <w:uiPriority w:val="99"/>
    <w:semiHidden/>
    <w:unhideWhenUsed/>
    <w:rsid w:val="00347705"/>
    <w:pPr>
      <w:tabs>
        <w:tab w:val="center" w:pos="4680"/>
        <w:tab w:val="right" w:pos="9360"/>
      </w:tabs>
    </w:pPr>
  </w:style>
  <w:style w:type="character" w:customStyle="1" w:styleId="HeaderChar">
    <w:name w:val="Header Char"/>
    <w:basedOn w:val="DefaultParagraphFont"/>
    <w:link w:val="Header"/>
    <w:uiPriority w:val="99"/>
    <w:semiHidden/>
    <w:rsid w:val="00347705"/>
    <w:rPr>
      <w:sz w:val="22"/>
      <w:szCs w:val="22"/>
    </w:rPr>
  </w:style>
  <w:style w:type="paragraph" w:styleId="Footer">
    <w:name w:val="footer"/>
    <w:basedOn w:val="Normal"/>
    <w:link w:val="FooterChar"/>
    <w:uiPriority w:val="99"/>
    <w:unhideWhenUsed/>
    <w:rsid w:val="00347705"/>
    <w:pPr>
      <w:tabs>
        <w:tab w:val="center" w:pos="4680"/>
        <w:tab w:val="right" w:pos="9360"/>
      </w:tabs>
    </w:pPr>
  </w:style>
  <w:style w:type="character" w:customStyle="1" w:styleId="FooterChar">
    <w:name w:val="Footer Char"/>
    <w:basedOn w:val="DefaultParagraphFont"/>
    <w:link w:val="Footer"/>
    <w:uiPriority w:val="99"/>
    <w:rsid w:val="00347705"/>
    <w:rPr>
      <w:sz w:val="22"/>
      <w:szCs w:val="22"/>
    </w:rPr>
  </w:style>
  <w:style w:type="table" w:styleId="TableGrid">
    <w:name w:val="Table Grid"/>
    <w:basedOn w:val="TableNormal"/>
    <w:uiPriority w:val="59"/>
    <w:rsid w:val="001E1A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17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DR.AMNA REHANA SIDDIQUI</dc:creator>
  <cp:lastModifiedBy>Armen Torchyan</cp:lastModifiedBy>
  <cp:revision>4</cp:revision>
  <cp:lastPrinted>2013-02-24T03:50:00Z</cp:lastPrinted>
  <dcterms:created xsi:type="dcterms:W3CDTF">2013-02-25T06:58:00Z</dcterms:created>
  <dcterms:modified xsi:type="dcterms:W3CDTF">2014-12-03T06:08:00Z</dcterms:modified>
</cp:coreProperties>
</file>