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8BE" w:rsidRPr="00DB405E" w:rsidRDefault="00453B1A" w:rsidP="00453B1A">
      <w:pPr>
        <w:pStyle w:val="1"/>
        <w:rPr>
          <w:rFonts w:asciiTheme="minorHAnsi" w:hAnsiTheme="minorHAnsi" w:cstheme="minorHAnsi"/>
          <w:bCs/>
          <w:sz w:val="24"/>
          <w:szCs w:val="24"/>
        </w:rPr>
      </w:pPr>
      <w:bookmarkStart w:id="0" w:name="_GoBack"/>
      <w:bookmarkEnd w:id="0"/>
      <w:r w:rsidRPr="00DB405E">
        <w:rPr>
          <w:rFonts w:asciiTheme="minorHAnsi" w:hAnsiTheme="minorHAnsi" w:cstheme="minorHAnsi"/>
          <w:bCs/>
          <w:sz w:val="24"/>
          <w:szCs w:val="24"/>
        </w:rPr>
        <w:t>Health education in clinical settings (councelling) Tutorial</w:t>
      </w:r>
    </w:p>
    <w:p w:rsidR="00453B1A" w:rsidRPr="00DB405E" w:rsidRDefault="00453B1A" w:rsidP="009042A9">
      <w:pPr>
        <w:pStyle w:val="2"/>
        <w:spacing w:line="480" w:lineRule="auto"/>
        <w:rPr>
          <w:rFonts w:asciiTheme="minorHAnsi" w:hAnsiTheme="minorHAnsi" w:cstheme="minorHAnsi"/>
          <w:color w:val="auto"/>
          <w:sz w:val="24"/>
          <w:szCs w:val="24"/>
          <w:u w:val="single"/>
        </w:rPr>
      </w:pPr>
      <w:r w:rsidRPr="00DB405E">
        <w:rPr>
          <w:rFonts w:asciiTheme="minorHAnsi" w:hAnsiTheme="minorHAnsi" w:cstheme="minorHAnsi"/>
          <w:color w:val="auto"/>
          <w:sz w:val="24"/>
          <w:szCs w:val="24"/>
          <w:u w:val="single"/>
        </w:rPr>
        <w:t>Objectives:</w:t>
      </w:r>
    </w:p>
    <w:p w:rsidR="00453B1A" w:rsidRPr="00DB405E" w:rsidRDefault="00453B1A" w:rsidP="009042A9">
      <w:pPr>
        <w:pStyle w:val="a3"/>
        <w:numPr>
          <w:ilvl w:val="0"/>
          <w:numId w:val="2"/>
        </w:numPr>
        <w:spacing w:line="480" w:lineRule="auto"/>
        <w:rPr>
          <w:rFonts w:cstheme="minorHAnsi"/>
          <w:sz w:val="24"/>
          <w:szCs w:val="24"/>
        </w:rPr>
      </w:pPr>
      <w:r w:rsidRPr="00DB405E">
        <w:rPr>
          <w:rFonts w:cstheme="minorHAnsi"/>
          <w:sz w:val="24"/>
          <w:szCs w:val="24"/>
        </w:rPr>
        <w:t>To understand the concepts of communication and counselling.</w:t>
      </w:r>
    </w:p>
    <w:p w:rsidR="004B5495" w:rsidRPr="00DB405E" w:rsidRDefault="00210BF7" w:rsidP="009042A9">
      <w:pPr>
        <w:pStyle w:val="a3"/>
        <w:numPr>
          <w:ilvl w:val="0"/>
          <w:numId w:val="2"/>
        </w:numPr>
        <w:spacing w:line="480" w:lineRule="auto"/>
        <w:rPr>
          <w:rFonts w:cstheme="minorHAnsi"/>
          <w:sz w:val="24"/>
          <w:szCs w:val="24"/>
        </w:rPr>
      </w:pPr>
      <w:r w:rsidRPr="00DB405E">
        <w:rPr>
          <w:rFonts w:cstheme="minorHAnsi"/>
          <w:sz w:val="24"/>
          <w:szCs w:val="24"/>
          <w:lang w:val="en-US"/>
        </w:rPr>
        <w:t xml:space="preserve">To learn why are communication&amp; counseling skills </w:t>
      </w:r>
      <w:r w:rsidR="00453B1A" w:rsidRPr="00DB405E">
        <w:rPr>
          <w:rFonts w:cstheme="minorHAnsi"/>
          <w:sz w:val="24"/>
          <w:szCs w:val="24"/>
          <w:lang w:val="en-US"/>
        </w:rPr>
        <w:t>important?</w:t>
      </w:r>
    </w:p>
    <w:p w:rsidR="004B5495" w:rsidRPr="00DB405E" w:rsidRDefault="00210BF7" w:rsidP="009042A9">
      <w:pPr>
        <w:pStyle w:val="a3"/>
        <w:numPr>
          <w:ilvl w:val="0"/>
          <w:numId w:val="2"/>
        </w:numPr>
        <w:spacing w:line="480" w:lineRule="auto"/>
        <w:rPr>
          <w:rFonts w:cstheme="minorHAnsi"/>
          <w:sz w:val="24"/>
          <w:szCs w:val="24"/>
        </w:rPr>
      </w:pPr>
      <w:r w:rsidRPr="00DB405E">
        <w:rPr>
          <w:rFonts w:cstheme="minorHAnsi"/>
          <w:sz w:val="24"/>
          <w:szCs w:val="24"/>
          <w:lang w:val="en-US"/>
        </w:rPr>
        <w:t>To learn the theories and stages of counseling</w:t>
      </w:r>
      <w:r w:rsidR="00453B1A" w:rsidRPr="00DB405E">
        <w:rPr>
          <w:rFonts w:cstheme="minorHAnsi"/>
          <w:sz w:val="24"/>
          <w:szCs w:val="24"/>
          <w:lang w:val="en-US"/>
        </w:rPr>
        <w:t>.</w:t>
      </w:r>
    </w:p>
    <w:p w:rsidR="004B5495" w:rsidRPr="00DB405E" w:rsidRDefault="00210BF7" w:rsidP="00683EEC">
      <w:pPr>
        <w:pStyle w:val="a3"/>
        <w:numPr>
          <w:ilvl w:val="0"/>
          <w:numId w:val="2"/>
        </w:numPr>
        <w:spacing w:line="480" w:lineRule="auto"/>
        <w:rPr>
          <w:rFonts w:cstheme="minorHAnsi"/>
          <w:sz w:val="24"/>
          <w:szCs w:val="24"/>
        </w:rPr>
      </w:pPr>
      <w:r w:rsidRPr="00DB405E">
        <w:rPr>
          <w:rFonts w:cstheme="minorHAnsi"/>
          <w:sz w:val="24"/>
          <w:szCs w:val="24"/>
          <w:lang w:val="en-US"/>
        </w:rPr>
        <w:t xml:space="preserve">What are the possible </w:t>
      </w:r>
      <w:r w:rsidR="00453B1A" w:rsidRPr="00DB405E">
        <w:rPr>
          <w:rFonts w:cstheme="minorHAnsi"/>
          <w:sz w:val="24"/>
          <w:szCs w:val="24"/>
          <w:lang w:val="en-US"/>
        </w:rPr>
        <w:t>barriers?</w:t>
      </w:r>
      <w:r w:rsidRPr="00DB405E">
        <w:rPr>
          <w:rFonts w:cstheme="minorHAnsi"/>
          <w:sz w:val="24"/>
          <w:szCs w:val="24"/>
          <w:lang w:val="en-US"/>
        </w:rPr>
        <w:t xml:space="preserve"> </w:t>
      </w:r>
    </w:p>
    <w:p w:rsidR="00ED5E5A" w:rsidRPr="00DB405E" w:rsidRDefault="005F37CE" w:rsidP="009042A9">
      <w:pPr>
        <w:pStyle w:val="2"/>
        <w:spacing w:line="480" w:lineRule="auto"/>
        <w:rPr>
          <w:rFonts w:asciiTheme="minorHAnsi" w:hAnsiTheme="minorHAnsi" w:cstheme="minorHAnsi"/>
          <w:color w:val="auto"/>
          <w:sz w:val="24"/>
          <w:szCs w:val="24"/>
          <w:u w:val="single"/>
        </w:rPr>
      </w:pPr>
      <w:r w:rsidRPr="00DB405E">
        <w:rPr>
          <w:rFonts w:asciiTheme="minorHAnsi" w:hAnsiTheme="minorHAnsi" w:cstheme="minorHAnsi"/>
          <w:color w:val="auto"/>
          <w:sz w:val="24"/>
          <w:szCs w:val="24"/>
          <w:u w:val="single"/>
        </w:rPr>
        <w:t>Example:</w:t>
      </w:r>
    </w:p>
    <w:p w:rsidR="00A76ADC" w:rsidRDefault="00453B1A" w:rsidP="009042A9">
      <w:pPr>
        <w:spacing w:line="480" w:lineRule="auto"/>
        <w:rPr>
          <w:rFonts w:cstheme="minorHAnsi"/>
          <w:b/>
          <w:bCs/>
          <w:sz w:val="24"/>
          <w:szCs w:val="24"/>
        </w:rPr>
      </w:pPr>
      <w:r w:rsidRPr="00DB405E">
        <w:rPr>
          <w:rFonts w:cstheme="minorHAnsi"/>
          <w:b/>
          <w:bCs/>
          <w:sz w:val="24"/>
          <w:szCs w:val="24"/>
        </w:rPr>
        <w:t>A 20 year</w:t>
      </w:r>
      <w:r w:rsidR="00683EEC" w:rsidRPr="00DB405E">
        <w:rPr>
          <w:rFonts w:cstheme="minorHAnsi"/>
          <w:b/>
          <w:bCs/>
          <w:sz w:val="24"/>
          <w:szCs w:val="24"/>
        </w:rPr>
        <w:t>s</w:t>
      </w:r>
      <w:r w:rsidRPr="00DB405E">
        <w:rPr>
          <w:rFonts w:cstheme="minorHAnsi"/>
          <w:b/>
          <w:bCs/>
          <w:sz w:val="24"/>
          <w:szCs w:val="24"/>
        </w:rPr>
        <w:t xml:space="preserve"> old college student visits the health center for concerns over her increasing weight. You see that her BMI is greater than 30. </w:t>
      </w:r>
    </w:p>
    <w:p w:rsidR="00453B1A" w:rsidRPr="00DB405E" w:rsidRDefault="00453B1A" w:rsidP="009042A9">
      <w:pPr>
        <w:spacing w:line="480" w:lineRule="auto"/>
        <w:rPr>
          <w:rFonts w:cstheme="minorHAnsi"/>
          <w:b/>
          <w:bCs/>
          <w:sz w:val="24"/>
          <w:szCs w:val="24"/>
        </w:rPr>
      </w:pPr>
      <w:r w:rsidRPr="00DB405E">
        <w:rPr>
          <w:rFonts w:cstheme="minorHAnsi"/>
          <w:b/>
          <w:bCs/>
          <w:sz w:val="24"/>
          <w:szCs w:val="24"/>
        </w:rPr>
        <w:t>How will you approach this student, within context of the 5A approach to counselling?</w:t>
      </w:r>
    </w:p>
    <w:p w:rsidR="00A06D58" w:rsidRPr="00DB405E" w:rsidRDefault="00A06D58" w:rsidP="00A06D58">
      <w:pPr>
        <w:pStyle w:val="2"/>
        <w:rPr>
          <w:rFonts w:asciiTheme="minorHAnsi" w:hAnsiTheme="minorHAnsi" w:cstheme="minorHAnsi"/>
          <w:sz w:val="24"/>
          <w:szCs w:val="24"/>
        </w:rPr>
      </w:pPr>
      <w:r w:rsidRPr="00DB405E">
        <w:rPr>
          <w:rFonts w:asciiTheme="minorHAnsi" w:hAnsiTheme="minorHAnsi" w:cstheme="minorHAnsi"/>
          <w:sz w:val="24"/>
          <w:szCs w:val="24"/>
        </w:rPr>
        <w:t>Further reading:</w:t>
      </w:r>
    </w:p>
    <w:p w:rsidR="00A06D58" w:rsidRPr="00DB405E" w:rsidRDefault="00756FD5" w:rsidP="00A06D58">
      <w:pPr>
        <w:pStyle w:val="2"/>
        <w:rPr>
          <w:rFonts w:asciiTheme="minorHAnsi" w:hAnsiTheme="minorHAnsi" w:cstheme="minorHAnsi"/>
          <w:sz w:val="24"/>
          <w:szCs w:val="24"/>
          <w:u w:val="single"/>
        </w:rPr>
      </w:pPr>
      <w:hyperlink r:id="rId7" w:history="1">
        <w:r w:rsidR="00A06D58" w:rsidRPr="00DB405E">
          <w:rPr>
            <w:rStyle w:val="Hyperlink"/>
            <w:rFonts w:asciiTheme="minorHAnsi" w:hAnsiTheme="minorHAnsi" w:cstheme="minorHAnsi"/>
            <w:sz w:val="24"/>
            <w:szCs w:val="24"/>
          </w:rPr>
          <w:t>https://onlinelibrary.wiley.com/doi/full/10.3322/caac.21394</w:t>
        </w:r>
      </w:hyperlink>
    </w:p>
    <w:p w:rsidR="00611988" w:rsidRPr="00DB405E" w:rsidRDefault="00611988" w:rsidP="009042A9">
      <w:pPr>
        <w:pStyle w:val="2"/>
        <w:spacing w:line="480" w:lineRule="auto"/>
        <w:rPr>
          <w:rFonts w:asciiTheme="minorHAnsi" w:hAnsiTheme="minorHAnsi" w:cstheme="minorHAnsi"/>
          <w:color w:val="auto"/>
          <w:sz w:val="24"/>
          <w:szCs w:val="24"/>
        </w:rPr>
      </w:pPr>
    </w:p>
    <w:p w:rsidR="00A06D58" w:rsidRDefault="00A06D58" w:rsidP="00A06D58"/>
    <w:p w:rsidR="00A06D58" w:rsidRPr="00A06D58" w:rsidRDefault="00A06D58" w:rsidP="00A06D58">
      <w:pPr>
        <w:sectPr w:rsidR="00A06D58" w:rsidRPr="00A06D58">
          <w:headerReference w:type="default" r:id="rId8"/>
          <w:footerReference w:type="default" r:id="rId9"/>
          <w:pgSz w:w="11906" w:h="16838"/>
          <w:pgMar w:top="1440" w:right="1440" w:bottom="1440" w:left="1440" w:header="708" w:footer="708" w:gutter="0"/>
          <w:cols w:space="708"/>
          <w:docGrid w:linePitch="360"/>
        </w:sectPr>
      </w:pPr>
    </w:p>
    <w:p w:rsidR="0054021B" w:rsidRPr="00FC09B0" w:rsidRDefault="0054021B" w:rsidP="0054021B">
      <w:pPr>
        <w:spacing w:line="480" w:lineRule="auto"/>
        <w:rPr>
          <w:b/>
          <w:bCs/>
        </w:rPr>
      </w:pPr>
      <w:r w:rsidRPr="00AC2D04">
        <w:rPr>
          <w:b/>
          <w:bCs/>
        </w:rPr>
        <w:lastRenderedPageBreak/>
        <w:t>Table 1</w:t>
      </w:r>
      <w:r w:rsidRPr="00FC09B0">
        <w:rPr>
          <w:b/>
          <w:bCs/>
        </w:rPr>
        <w:t>. Physical Activity Counseling in Primary Care: 5As Framework by Decision Biases</w:t>
      </w:r>
      <w:hyperlink r:id="rId10" w:anchor="caac21394-note-0002_71" w:tooltip="Link to note" w:history="1">
        <w:r w:rsidRPr="00FC09B0">
          <w:rPr>
            <w:rStyle w:val="Hyperlink"/>
            <w:b/>
            <w:bCs/>
            <w:color w:val="auto"/>
          </w:rPr>
          <w:t>a</w:t>
        </w:r>
      </w:hyperlink>
      <w:r w:rsidRPr="00FC09B0">
        <w:rPr>
          <w:b/>
          <w:bCs/>
        </w:rPr>
        <w:t xml:space="preserve"> </w:t>
      </w:r>
    </w:p>
    <w:tbl>
      <w:tblPr>
        <w:tblStyle w:val="3-1"/>
        <w:tblW w:w="13183" w:type="dxa"/>
        <w:tblInd w:w="704" w:type="dxa"/>
        <w:tblLook w:val="04A0" w:firstRow="1" w:lastRow="0" w:firstColumn="1" w:lastColumn="0" w:noHBand="0" w:noVBand="1"/>
      </w:tblPr>
      <w:tblGrid>
        <w:gridCol w:w="2977"/>
        <w:gridCol w:w="4961"/>
        <w:gridCol w:w="5245"/>
      </w:tblGrid>
      <w:tr w:rsidR="00AC2D04" w:rsidRPr="00AC2D04" w:rsidTr="00E16B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shd w:val="clear" w:color="auto" w:fill="F2F2F2" w:themeFill="background1" w:themeFillShade="F2"/>
            <w:hideMark/>
          </w:tcPr>
          <w:p w:rsidR="0054021B" w:rsidRPr="00AC2D04" w:rsidRDefault="0054021B" w:rsidP="005B7B7D">
            <w:pPr>
              <w:spacing w:after="160"/>
              <w:rPr>
                <w:color w:val="auto"/>
              </w:rPr>
            </w:pPr>
            <w:r w:rsidRPr="00AC2D04">
              <w:rPr>
                <w:color w:val="auto"/>
              </w:rPr>
              <w:t>5A COMPONENT</w:t>
            </w:r>
            <w:hyperlink r:id="rId11" w:anchor="caac21394-note-0003_72" w:tooltip="Link to note" w:history="1">
              <w:r w:rsidRPr="00AC2D04">
                <w:rPr>
                  <w:rStyle w:val="Hyperlink"/>
                  <w:color w:val="auto"/>
                </w:rPr>
                <w:t>b</w:t>
              </w:r>
            </w:hyperlink>
            <w:r w:rsidRPr="00AC2D04">
              <w:rPr>
                <w:color w:val="auto"/>
              </w:rPr>
              <w:t xml:space="preserve"> </w:t>
            </w:r>
          </w:p>
        </w:tc>
        <w:tc>
          <w:tcPr>
            <w:tcW w:w="4961" w:type="dxa"/>
            <w:shd w:val="clear" w:color="auto" w:fill="F2F2F2" w:themeFill="background1" w:themeFillShade="F2"/>
            <w:hideMark/>
          </w:tcPr>
          <w:p w:rsidR="0054021B" w:rsidRPr="00AC2D04" w:rsidRDefault="0054021B" w:rsidP="005B7B7D">
            <w:pPr>
              <w:spacing w:after="160"/>
              <w:cnfStyle w:val="100000000000" w:firstRow="1" w:lastRow="0" w:firstColumn="0" w:lastColumn="0" w:oddVBand="0" w:evenVBand="0" w:oddHBand="0" w:evenHBand="0" w:firstRowFirstColumn="0" w:firstRowLastColumn="0" w:lastRowFirstColumn="0" w:lastRowLastColumn="0"/>
              <w:rPr>
                <w:color w:val="auto"/>
              </w:rPr>
            </w:pPr>
            <w:r w:rsidRPr="00AC2D04">
              <w:rPr>
                <w:color w:val="auto"/>
              </w:rPr>
              <w:t>PRESENT TIME BIAS</w:t>
            </w:r>
            <w:hyperlink r:id="rId12" w:anchor="caac21394-note-0004_73" w:tooltip="Link to note" w:history="1">
              <w:r w:rsidRPr="00AC2D04">
                <w:rPr>
                  <w:rStyle w:val="Hyperlink"/>
                  <w:color w:val="auto"/>
                </w:rPr>
                <w:t>c</w:t>
              </w:r>
            </w:hyperlink>
            <w:r w:rsidRPr="00AC2D04">
              <w:rPr>
                <w:color w:val="auto"/>
              </w:rPr>
              <w:t xml:space="preserve"> </w:t>
            </w:r>
          </w:p>
        </w:tc>
        <w:tc>
          <w:tcPr>
            <w:tcW w:w="5245" w:type="dxa"/>
            <w:shd w:val="clear" w:color="auto" w:fill="F2F2F2" w:themeFill="background1" w:themeFillShade="F2"/>
            <w:hideMark/>
          </w:tcPr>
          <w:p w:rsidR="0054021B" w:rsidRPr="00AC2D04" w:rsidRDefault="0054021B" w:rsidP="005B7B7D">
            <w:pPr>
              <w:spacing w:after="160"/>
              <w:cnfStyle w:val="100000000000" w:firstRow="1" w:lastRow="0" w:firstColumn="0" w:lastColumn="0" w:oddVBand="0" w:evenVBand="0" w:oddHBand="0" w:evenHBand="0" w:firstRowFirstColumn="0" w:firstRowLastColumn="0" w:lastRowFirstColumn="0" w:lastRowLastColumn="0"/>
              <w:rPr>
                <w:color w:val="auto"/>
              </w:rPr>
            </w:pPr>
            <w:r w:rsidRPr="00AC2D04">
              <w:rPr>
                <w:color w:val="auto"/>
              </w:rPr>
              <w:t>STATUS QUO BIAS</w:t>
            </w:r>
            <w:hyperlink r:id="rId13" w:anchor="caac21394-note-0004_74" w:tooltip="Link to note" w:history="1">
              <w:r w:rsidRPr="00AC2D04">
                <w:rPr>
                  <w:rStyle w:val="Hyperlink"/>
                  <w:color w:val="auto"/>
                </w:rPr>
                <w:t>c</w:t>
              </w:r>
            </w:hyperlink>
            <w:r w:rsidRPr="00AC2D04">
              <w:rPr>
                <w:color w:val="auto"/>
              </w:rPr>
              <w:t xml:space="preserve"> </w:t>
            </w:r>
          </w:p>
        </w:tc>
      </w:tr>
      <w:tr w:rsidR="00AC2D04" w:rsidRPr="00AC2D04" w:rsidTr="00E16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7F7F7F" w:themeFill="text1" w:themeFillTint="80"/>
            <w:hideMark/>
          </w:tcPr>
          <w:p w:rsidR="0054021B" w:rsidRPr="00AC2D04" w:rsidRDefault="0054021B" w:rsidP="005B7B7D">
            <w:pPr>
              <w:spacing w:after="160"/>
            </w:pPr>
            <w:r w:rsidRPr="00AC2D04">
              <w:t>Assess</w:t>
            </w:r>
          </w:p>
        </w:tc>
        <w:tc>
          <w:tcPr>
            <w:tcW w:w="4961"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p>
        </w:tc>
        <w:tc>
          <w:tcPr>
            <w:tcW w:w="5245"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p>
        </w:tc>
      </w:tr>
      <w:tr w:rsidR="00AC2D04" w:rsidRPr="00AC2D04" w:rsidTr="00E16BE5">
        <w:tc>
          <w:tcPr>
            <w:cnfStyle w:val="001000000000" w:firstRow="0" w:lastRow="0" w:firstColumn="1" w:lastColumn="0" w:oddVBand="0" w:evenVBand="0" w:oddHBand="0" w:evenHBand="0" w:firstRowFirstColumn="0" w:firstRowLastColumn="0" w:lastRowFirstColumn="0" w:lastRowLastColumn="0"/>
            <w:tcW w:w="2977" w:type="dxa"/>
            <w:hideMark/>
          </w:tcPr>
          <w:p w:rsidR="0054021B" w:rsidRPr="00AC2D04" w:rsidRDefault="0054021B" w:rsidP="005B7B7D">
            <w:pPr>
              <w:spacing w:after="160"/>
            </w:pPr>
            <w:r w:rsidRPr="00AC2D04">
              <w:t>Assess physical activity levels at baseline and at each visit.</w:t>
            </w:r>
          </w:p>
        </w:tc>
        <w:tc>
          <w:tcPr>
            <w:tcW w:w="4961"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r w:rsidRPr="00AC2D04">
              <w:t>• Ask the patient about self‐control problems; briefly explain this phenomenon, and emphasize how common it is; emphasize that strategies will be provided to help achieve activity goals.</w:t>
            </w:r>
          </w:p>
        </w:tc>
        <w:tc>
          <w:tcPr>
            <w:tcW w:w="5245"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r w:rsidRPr="00AC2D04">
              <w:t>• Be aware that patients’ perceptions of the status quo regarding physical activity could impact their reported activity.</w:t>
            </w:r>
          </w:p>
        </w:tc>
      </w:tr>
      <w:tr w:rsidR="00AC2D04" w:rsidRPr="00AC2D04" w:rsidTr="00E16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7F7F7F" w:themeFill="text1" w:themeFillTint="80"/>
            <w:hideMark/>
          </w:tcPr>
          <w:p w:rsidR="0054021B" w:rsidRPr="00AC2D04" w:rsidRDefault="0054021B" w:rsidP="005B7B7D">
            <w:pPr>
              <w:spacing w:after="160"/>
            </w:pPr>
            <w:r w:rsidRPr="00AC2D04">
              <w:t>Advise</w:t>
            </w:r>
          </w:p>
        </w:tc>
        <w:tc>
          <w:tcPr>
            <w:tcW w:w="4961"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p>
        </w:tc>
        <w:tc>
          <w:tcPr>
            <w:tcW w:w="5245"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p>
        </w:tc>
      </w:tr>
      <w:tr w:rsidR="00AC2D04" w:rsidRPr="00AC2D04" w:rsidTr="00E16BE5">
        <w:tc>
          <w:tcPr>
            <w:cnfStyle w:val="001000000000" w:firstRow="0" w:lastRow="0" w:firstColumn="1" w:lastColumn="0" w:oddVBand="0" w:evenVBand="0" w:oddHBand="0" w:evenHBand="0" w:firstRowFirstColumn="0" w:firstRowLastColumn="0" w:lastRowFirstColumn="0" w:lastRowLastColumn="0"/>
            <w:tcW w:w="2977" w:type="dxa"/>
            <w:hideMark/>
          </w:tcPr>
          <w:p w:rsidR="0054021B" w:rsidRPr="00AC2D04" w:rsidRDefault="0054021B" w:rsidP="005B7B7D">
            <w:pPr>
              <w:spacing w:after="160"/>
            </w:pPr>
            <w:r w:rsidRPr="00AC2D04">
              <w:t>Advise on increasing physical activity levels; relate patient's laboratory results/symptoms to physical inactivity.</w:t>
            </w:r>
          </w:p>
        </w:tc>
        <w:tc>
          <w:tcPr>
            <w:tcW w:w="4961"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r w:rsidRPr="00AC2D04">
              <w:t>• Increase patients’ awareness of the link between physical activity levels and improved health; relating laboratory results to health behavior increases the saliency of the benefits of activity.</w:t>
            </w:r>
          </w:p>
        </w:tc>
        <w:tc>
          <w:tcPr>
            <w:tcW w:w="5245"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r w:rsidRPr="00AC2D04">
              <w:t>• Use positive and simple language to deliver the public health message of physical activity; frame activity as fun.</w:t>
            </w:r>
          </w:p>
        </w:tc>
      </w:tr>
      <w:tr w:rsidR="00AC2D04" w:rsidRPr="00AC2D04" w:rsidTr="00E16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rsidR="0054021B" w:rsidRPr="00AC2D04" w:rsidRDefault="0054021B" w:rsidP="005B7B7D">
            <w:pPr>
              <w:spacing w:after="160"/>
            </w:pPr>
          </w:p>
        </w:tc>
        <w:tc>
          <w:tcPr>
            <w:tcW w:w="4961"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p>
        </w:tc>
        <w:tc>
          <w:tcPr>
            <w:tcW w:w="5245"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r w:rsidRPr="00AC2D04">
              <w:t>• Mention success stories of individuals similar to your patient.</w:t>
            </w:r>
          </w:p>
        </w:tc>
      </w:tr>
      <w:tr w:rsidR="00AC2D04" w:rsidRPr="00AC2D04" w:rsidTr="00E16BE5">
        <w:tc>
          <w:tcPr>
            <w:cnfStyle w:val="001000000000" w:firstRow="0" w:lastRow="0" w:firstColumn="1" w:lastColumn="0" w:oddVBand="0" w:evenVBand="0" w:oddHBand="0" w:evenHBand="0" w:firstRowFirstColumn="0" w:firstRowLastColumn="0" w:lastRowFirstColumn="0" w:lastRowLastColumn="0"/>
            <w:tcW w:w="2977" w:type="dxa"/>
            <w:shd w:val="clear" w:color="auto" w:fill="7F7F7F" w:themeFill="text1" w:themeFillTint="80"/>
            <w:hideMark/>
          </w:tcPr>
          <w:p w:rsidR="0054021B" w:rsidRPr="00AC2D04" w:rsidRDefault="0054021B" w:rsidP="005B7B7D">
            <w:pPr>
              <w:spacing w:after="160"/>
            </w:pPr>
            <w:r w:rsidRPr="00AC2D04">
              <w:t>Agree</w:t>
            </w:r>
          </w:p>
        </w:tc>
        <w:tc>
          <w:tcPr>
            <w:tcW w:w="4961"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p>
        </w:tc>
        <w:tc>
          <w:tcPr>
            <w:tcW w:w="5245"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p>
        </w:tc>
      </w:tr>
      <w:tr w:rsidR="00AC2D04" w:rsidRPr="00AC2D04" w:rsidTr="00E16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rsidR="0054021B" w:rsidRPr="00AC2D04" w:rsidRDefault="0054021B" w:rsidP="005B7B7D">
            <w:pPr>
              <w:spacing w:after="160"/>
            </w:pPr>
            <w:r w:rsidRPr="00AC2D04">
              <w:t>Agree on a physical activity plan that is tailored to the patient's interests and preferences; jointly set goals and milestones.</w:t>
            </w:r>
          </w:p>
        </w:tc>
        <w:tc>
          <w:tcPr>
            <w:tcW w:w="4961"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r w:rsidRPr="00AC2D04">
              <w:t>• Discuss the challenges often encountered when executing future plans.</w:t>
            </w:r>
          </w:p>
        </w:tc>
        <w:tc>
          <w:tcPr>
            <w:tcW w:w="5245"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r w:rsidRPr="00AC2D04">
              <w:t>• Reinforce that physical activity is the social norm; identify specific elements of the plan that are commonly undertaken by others.</w:t>
            </w:r>
          </w:p>
        </w:tc>
      </w:tr>
      <w:tr w:rsidR="00AC2D04" w:rsidRPr="00AC2D04" w:rsidTr="00E16BE5">
        <w:tc>
          <w:tcPr>
            <w:cnfStyle w:val="001000000000" w:firstRow="0" w:lastRow="0" w:firstColumn="1" w:lastColumn="0" w:oddVBand="0" w:evenVBand="0" w:oddHBand="0" w:evenHBand="0" w:firstRowFirstColumn="0" w:firstRowLastColumn="0" w:lastRowFirstColumn="0" w:lastRowLastColumn="0"/>
            <w:tcW w:w="2977" w:type="dxa"/>
            <w:hideMark/>
          </w:tcPr>
          <w:p w:rsidR="0054021B" w:rsidRPr="00AC2D04" w:rsidRDefault="0054021B" w:rsidP="005B7B7D">
            <w:pPr>
              <w:spacing w:after="160"/>
            </w:pPr>
            <w:r w:rsidRPr="00AC2D04">
              <w:t>Provide detailed counseling on the frequency, intensity, and type of activity.</w:t>
            </w:r>
          </w:p>
        </w:tc>
        <w:tc>
          <w:tcPr>
            <w:tcW w:w="4961"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r w:rsidRPr="00AC2D04">
              <w:t>• Agree with patients that the future health benefits of physical activity are real and valuable.</w:t>
            </w:r>
          </w:p>
        </w:tc>
        <w:tc>
          <w:tcPr>
            <w:tcW w:w="5245"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p>
        </w:tc>
      </w:tr>
      <w:tr w:rsidR="00AC2D04" w:rsidRPr="00AC2D04" w:rsidTr="00E16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7F7F7F" w:themeFill="text1" w:themeFillTint="80"/>
            <w:hideMark/>
          </w:tcPr>
          <w:p w:rsidR="0054021B" w:rsidRPr="00AC2D04" w:rsidRDefault="0054021B" w:rsidP="005B7B7D">
            <w:pPr>
              <w:spacing w:after="160"/>
            </w:pPr>
            <w:r w:rsidRPr="00AC2D04">
              <w:t>Assist</w:t>
            </w:r>
          </w:p>
        </w:tc>
        <w:tc>
          <w:tcPr>
            <w:tcW w:w="4961"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p>
        </w:tc>
        <w:tc>
          <w:tcPr>
            <w:tcW w:w="5245"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p>
        </w:tc>
      </w:tr>
      <w:tr w:rsidR="00AC2D04" w:rsidRPr="00AC2D04" w:rsidTr="00E16BE5">
        <w:tc>
          <w:tcPr>
            <w:cnfStyle w:val="001000000000" w:firstRow="0" w:lastRow="0" w:firstColumn="1" w:lastColumn="0" w:oddVBand="0" w:evenVBand="0" w:oddHBand="0" w:evenHBand="0" w:firstRowFirstColumn="0" w:firstRowLastColumn="0" w:lastRowFirstColumn="0" w:lastRowLastColumn="0"/>
            <w:tcW w:w="2977" w:type="dxa"/>
            <w:hideMark/>
          </w:tcPr>
          <w:p w:rsidR="0054021B" w:rsidRPr="00AC2D04" w:rsidRDefault="0054021B" w:rsidP="005B7B7D">
            <w:pPr>
              <w:spacing w:after="160"/>
            </w:pPr>
            <w:r w:rsidRPr="00AC2D04">
              <w:lastRenderedPageBreak/>
              <w:t>Provide pertinent strategies to overcome impediments to meeting physical activity goals.</w:t>
            </w:r>
          </w:p>
        </w:tc>
        <w:tc>
          <w:tcPr>
            <w:tcW w:w="4961"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r w:rsidRPr="00AC2D04">
              <w:t>• Encourage the use of precommitment contracts (eg, predepositing money), and binding “contracts” with family/friends or personal trainer to engage in physical activity regularly.</w:t>
            </w:r>
            <w:hyperlink r:id="rId14" w:anchor="caac21394-note-0005_75" w:tooltip="Link to note" w:history="1">
              <w:r w:rsidRPr="00AC2D04">
                <w:rPr>
                  <w:rStyle w:val="Hyperlink"/>
                  <w:color w:val="auto"/>
                </w:rPr>
                <w:t>d</w:t>
              </w:r>
            </w:hyperlink>
            <w:r w:rsidRPr="00AC2D04">
              <w:t xml:space="preserve"> </w:t>
            </w:r>
          </w:p>
        </w:tc>
        <w:tc>
          <w:tcPr>
            <w:tcW w:w="5245"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r w:rsidRPr="00AC2D04">
              <w:t>• Inquire about your patient's daily routine and help them identify common opportunities for increased activity as the default option, such as worksite wellness programs, stair usage, the use of sit‐stand workstations, and joining a physical activity program (eg, “Walk with a Doc”).</w:t>
            </w:r>
          </w:p>
        </w:tc>
      </w:tr>
      <w:tr w:rsidR="00AC2D04" w:rsidRPr="00AC2D04" w:rsidTr="00E16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rsidR="0054021B" w:rsidRPr="00AC2D04" w:rsidRDefault="0054021B" w:rsidP="005B7B7D">
            <w:pPr>
              <w:spacing w:after="160"/>
            </w:pPr>
          </w:p>
        </w:tc>
        <w:tc>
          <w:tcPr>
            <w:tcW w:w="4961"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r w:rsidRPr="00AC2D04">
              <w:t>• Suggest using temptation bundling: combine “want” behaviors (eg, TV viewing on IPad) with “should” behaviors (eg, walking on treadmill).</w:t>
            </w:r>
          </w:p>
        </w:tc>
        <w:tc>
          <w:tcPr>
            <w:tcW w:w="5245"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r w:rsidRPr="00AC2D04">
              <w:t>• Encourage lifestyle changes for the whole family; this will change the social norms and set the default as an active lifestyle.</w:t>
            </w:r>
          </w:p>
        </w:tc>
      </w:tr>
      <w:tr w:rsidR="00AC2D04" w:rsidRPr="00AC2D04" w:rsidTr="00E16BE5">
        <w:tc>
          <w:tcPr>
            <w:cnfStyle w:val="001000000000" w:firstRow="0" w:lastRow="0" w:firstColumn="1" w:lastColumn="0" w:oddVBand="0" w:evenVBand="0" w:oddHBand="0" w:evenHBand="0" w:firstRowFirstColumn="0" w:firstRowLastColumn="0" w:lastRowFirstColumn="0" w:lastRowLastColumn="0"/>
            <w:tcW w:w="2977" w:type="dxa"/>
            <w:hideMark/>
          </w:tcPr>
          <w:p w:rsidR="0054021B" w:rsidRPr="00AC2D04" w:rsidRDefault="0054021B" w:rsidP="005B7B7D">
            <w:pPr>
              <w:spacing w:after="160"/>
            </w:pPr>
          </w:p>
        </w:tc>
        <w:tc>
          <w:tcPr>
            <w:tcW w:w="4961"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r w:rsidRPr="00AC2D04">
              <w:t>• Suggest the use of pedometers or other monitoring device (eg, Fitbit) and set to a specific goal (eg, 10,000 steps a d); this provides tangible feedback that may buffer the immediate gratification of “want” behaviors.</w:t>
            </w:r>
          </w:p>
        </w:tc>
        <w:tc>
          <w:tcPr>
            <w:tcW w:w="5245"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r w:rsidRPr="00AC2D04">
              <w:t>• Set activity monitors to meet a goal, such as setting prompts on the Fitbit for standing up and moving about every 30 min during a day at the office. This will facilitate changing the status quo from sedentary to more active.</w:t>
            </w:r>
          </w:p>
        </w:tc>
      </w:tr>
      <w:tr w:rsidR="00AC2D04" w:rsidRPr="00AC2D04" w:rsidTr="00E16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rsidR="0054021B" w:rsidRPr="00AC2D04" w:rsidRDefault="0054021B" w:rsidP="005B7B7D">
            <w:pPr>
              <w:spacing w:after="160"/>
            </w:pPr>
          </w:p>
        </w:tc>
        <w:tc>
          <w:tcPr>
            <w:tcW w:w="4961"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r w:rsidRPr="00AC2D04">
              <w:t>• Actively enroll patients in an activity of their choice (eg, walking club); this will reduce the “costs,” eg, costs for the patient associated with registration.</w:t>
            </w:r>
          </w:p>
        </w:tc>
        <w:tc>
          <w:tcPr>
            <w:tcW w:w="5245"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p>
        </w:tc>
      </w:tr>
      <w:tr w:rsidR="00AC2D04" w:rsidRPr="00AC2D04" w:rsidTr="00E16BE5">
        <w:tc>
          <w:tcPr>
            <w:cnfStyle w:val="001000000000" w:firstRow="0" w:lastRow="0" w:firstColumn="1" w:lastColumn="0" w:oddVBand="0" w:evenVBand="0" w:oddHBand="0" w:evenHBand="0" w:firstRowFirstColumn="0" w:firstRowLastColumn="0" w:lastRowFirstColumn="0" w:lastRowLastColumn="0"/>
            <w:tcW w:w="2977" w:type="dxa"/>
            <w:shd w:val="clear" w:color="auto" w:fill="7F7F7F" w:themeFill="text1" w:themeFillTint="80"/>
            <w:hideMark/>
          </w:tcPr>
          <w:p w:rsidR="0054021B" w:rsidRPr="00AC2D04" w:rsidRDefault="0054021B" w:rsidP="005B7B7D">
            <w:pPr>
              <w:spacing w:after="160"/>
            </w:pPr>
            <w:r w:rsidRPr="00AC2D04">
              <w:t>Arrange</w:t>
            </w:r>
          </w:p>
        </w:tc>
        <w:tc>
          <w:tcPr>
            <w:tcW w:w="4961"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p>
        </w:tc>
        <w:tc>
          <w:tcPr>
            <w:tcW w:w="5245"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p>
        </w:tc>
      </w:tr>
      <w:tr w:rsidR="00AC2D04" w:rsidRPr="00AC2D04" w:rsidTr="00E16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rsidR="0054021B" w:rsidRPr="00AC2D04" w:rsidRDefault="0054021B" w:rsidP="005B7B7D">
            <w:pPr>
              <w:spacing w:after="160"/>
            </w:pPr>
            <w:r w:rsidRPr="00AC2D04">
              <w:t>Arrange follow‐up visits and reminders.</w:t>
            </w:r>
          </w:p>
        </w:tc>
        <w:tc>
          <w:tcPr>
            <w:tcW w:w="4961"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r w:rsidRPr="00AC2D04">
              <w:t>• Arrange follow‐up meetings pertaining to meeting physical activity goals before patients leave the clinic; this will precommit patients to come back.</w:t>
            </w:r>
          </w:p>
        </w:tc>
        <w:tc>
          <w:tcPr>
            <w:tcW w:w="5245" w:type="dxa"/>
            <w:hideMark/>
          </w:tcPr>
          <w:p w:rsidR="0054021B" w:rsidRPr="00AC2D04" w:rsidRDefault="0054021B" w:rsidP="005B7B7D">
            <w:pPr>
              <w:spacing w:after="160"/>
              <w:cnfStyle w:val="000000100000" w:firstRow="0" w:lastRow="0" w:firstColumn="0" w:lastColumn="0" w:oddVBand="0" w:evenVBand="0" w:oddHBand="1" w:evenHBand="0" w:firstRowFirstColumn="0" w:firstRowLastColumn="0" w:lastRowFirstColumn="0" w:lastRowLastColumn="0"/>
            </w:pPr>
            <w:r w:rsidRPr="00AC2D04">
              <w:t>• Establish that physical activity should be the status quo, and maintain this “theme” throughout all follow‐up visits.</w:t>
            </w:r>
          </w:p>
        </w:tc>
      </w:tr>
      <w:tr w:rsidR="00AC2D04" w:rsidRPr="00AC2D04" w:rsidTr="00E16BE5">
        <w:tc>
          <w:tcPr>
            <w:cnfStyle w:val="001000000000" w:firstRow="0" w:lastRow="0" w:firstColumn="1" w:lastColumn="0" w:oddVBand="0" w:evenVBand="0" w:oddHBand="0" w:evenHBand="0" w:firstRowFirstColumn="0" w:firstRowLastColumn="0" w:lastRowFirstColumn="0" w:lastRowLastColumn="0"/>
            <w:tcW w:w="2977" w:type="dxa"/>
            <w:hideMark/>
          </w:tcPr>
          <w:p w:rsidR="0054021B" w:rsidRPr="00AC2D04" w:rsidRDefault="0054021B" w:rsidP="005B7B7D">
            <w:pPr>
              <w:spacing w:after="160"/>
            </w:pPr>
          </w:p>
        </w:tc>
        <w:tc>
          <w:tcPr>
            <w:tcW w:w="4961"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r w:rsidRPr="00AC2D04">
              <w:t>• Draw salient connections between patients’ behavioral changes and health outcomes (eg, weight maintenance) during the follow‐up meetings.</w:t>
            </w:r>
          </w:p>
        </w:tc>
        <w:tc>
          <w:tcPr>
            <w:tcW w:w="5245" w:type="dxa"/>
            <w:hideMark/>
          </w:tcPr>
          <w:p w:rsidR="0054021B" w:rsidRPr="00AC2D04" w:rsidRDefault="0054021B" w:rsidP="005B7B7D">
            <w:pPr>
              <w:spacing w:after="160"/>
              <w:cnfStyle w:val="000000000000" w:firstRow="0" w:lastRow="0" w:firstColumn="0" w:lastColumn="0" w:oddVBand="0" w:evenVBand="0" w:oddHBand="0" w:evenHBand="0" w:firstRowFirstColumn="0" w:firstRowLastColumn="0" w:lastRowFirstColumn="0" w:lastRowLastColumn="0"/>
            </w:pPr>
            <w:r w:rsidRPr="00AC2D04">
              <w:t>• Arrange to have reminders sent to patients to engage in activities with others that are physically active to reinforce that physical activity is the status quo.</w:t>
            </w:r>
          </w:p>
        </w:tc>
      </w:tr>
    </w:tbl>
    <w:p w:rsidR="0054021B" w:rsidRPr="005B7B7D" w:rsidRDefault="0054021B" w:rsidP="005B7B7D">
      <w:pPr>
        <w:numPr>
          <w:ilvl w:val="0"/>
          <w:numId w:val="4"/>
        </w:numPr>
        <w:spacing w:line="240" w:lineRule="auto"/>
        <w:rPr>
          <w:sz w:val="18"/>
          <w:szCs w:val="18"/>
        </w:rPr>
      </w:pPr>
      <w:r w:rsidRPr="005B7B7D">
        <w:rPr>
          <w:i/>
          <w:iCs/>
          <w:sz w:val="18"/>
          <w:szCs w:val="18"/>
          <w:vertAlign w:val="superscript"/>
        </w:rPr>
        <w:t>a</w:t>
      </w:r>
      <w:r w:rsidRPr="005B7B7D">
        <w:rPr>
          <w:sz w:val="18"/>
          <w:szCs w:val="18"/>
        </w:rPr>
        <w:t xml:space="preserve"> The 5As (assess, advise, agree, assist, arrange) is a framework used to provide physical activity counseling. </w:t>
      </w:r>
    </w:p>
    <w:p w:rsidR="0054021B" w:rsidRPr="005B7B7D" w:rsidRDefault="0054021B" w:rsidP="005B7B7D">
      <w:pPr>
        <w:numPr>
          <w:ilvl w:val="0"/>
          <w:numId w:val="4"/>
        </w:numPr>
        <w:spacing w:line="240" w:lineRule="auto"/>
        <w:rPr>
          <w:sz w:val="18"/>
          <w:szCs w:val="18"/>
        </w:rPr>
      </w:pPr>
      <w:r w:rsidRPr="005B7B7D">
        <w:rPr>
          <w:i/>
          <w:iCs/>
          <w:sz w:val="18"/>
          <w:szCs w:val="18"/>
          <w:vertAlign w:val="superscript"/>
        </w:rPr>
        <w:t>b</w:t>
      </w:r>
      <w:r w:rsidRPr="005B7B7D">
        <w:rPr>
          <w:sz w:val="18"/>
          <w:szCs w:val="18"/>
        </w:rPr>
        <w:t xml:space="preserve"> Based on Estabrooks PA, Glasgow RE, Dzewaltowski DA. Physical activity promotion through primary care. </w:t>
      </w:r>
      <w:r w:rsidRPr="005B7B7D">
        <w:rPr>
          <w:i/>
          <w:iCs/>
          <w:sz w:val="18"/>
          <w:szCs w:val="18"/>
        </w:rPr>
        <w:t>JAMA</w:t>
      </w:r>
      <w:r w:rsidRPr="005B7B7D">
        <w:rPr>
          <w:sz w:val="18"/>
          <w:szCs w:val="18"/>
        </w:rPr>
        <w:t>. 2003;289:2913‐2916.</w:t>
      </w:r>
      <w:hyperlink r:id="rId15" w:anchor="caac21394-bib-0021" w:history="1">
        <w:r w:rsidRPr="005B7B7D">
          <w:rPr>
            <w:rStyle w:val="Hyperlink"/>
            <w:color w:val="auto"/>
            <w:sz w:val="18"/>
            <w:szCs w:val="18"/>
          </w:rPr>
          <w:t>21</w:t>
        </w:r>
      </w:hyperlink>
    </w:p>
    <w:p w:rsidR="0054021B" w:rsidRPr="005B7B7D" w:rsidRDefault="0054021B" w:rsidP="005B7B7D">
      <w:pPr>
        <w:numPr>
          <w:ilvl w:val="0"/>
          <w:numId w:val="4"/>
        </w:numPr>
        <w:spacing w:line="240" w:lineRule="auto"/>
        <w:rPr>
          <w:sz w:val="18"/>
          <w:szCs w:val="18"/>
        </w:rPr>
      </w:pPr>
      <w:r w:rsidRPr="005B7B7D">
        <w:rPr>
          <w:i/>
          <w:iCs/>
          <w:sz w:val="18"/>
          <w:szCs w:val="18"/>
          <w:vertAlign w:val="superscript"/>
        </w:rPr>
        <w:lastRenderedPageBreak/>
        <w:t>c</w:t>
      </w:r>
      <w:r w:rsidRPr="005B7B7D">
        <w:rPr>
          <w:sz w:val="18"/>
          <w:szCs w:val="18"/>
        </w:rPr>
        <w:t xml:space="preserve"> Individuals deviating from their time‐consistent plan are regarded as having </w:t>
      </w:r>
      <w:r w:rsidRPr="005B7B7D">
        <w:rPr>
          <w:i/>
          <w:iCs/>
          <w:sz w:val="18"/>
          <w:szCs w:val="18"/>
        </w:rPr>
        <w:t>present time bias</w:t>
      </w:r>
      <w:r w:rsidRPr="005B7B7D">
        <w:rPr>
          <w:sz w:val="18"/>
          <w:szCs w:val="18"/>
        </w:rPr>
        <w:t xml:space="preserve">, with self‐control problems arising from temptations that result in immediate, gratifying behavior. </w:t>
      </w:r>
      <w:r w:rsidRPr="005B7B7D">
        <w:rPr>
          <w:i/>
          <w:iCs/>
          <w:sz w:val="18"/>
          <w:szCs w:val="18"/>
        </w:rPr>
        <w:t>Status quo bias</w:t>
      </w:r>
      <w:r w:rsidRPr="005B7B7D">
        <w:rPr>
          <w:sz w:val="18"/>
          <w:szCs w:val="18"/>
        </w:rPr>
        <w:t xml:space="preserve"> is a decision error in which individuals tend to take </w:t>
      </w:r>
      <w:r w:rsidR="00071B64" w:rsidRPr="005B7B7D">
        <w:rPr>
          <w:sz w:val="18"/>
          <w:szCs w:val="18"/>
        </w:rPr>
        <w:t>the” path</w:t>
      </w:r>
      <w:r w:rsidRPr="005B7B7D">
        <w:rPr>
          <w:sz w:val="18"/>
          <w:szCs w:val="18"/>
        </w:rPr>
        <w:t xml:space="preserve"> of least resistance”; that is, they are often unable to make decisions that deviate from what is the default option. </w:t>
      </w:r>
    </w:p>
    <w:p w:rsidR="0054021B" w:rsidRPr="005B7B7D" w:rsidRDefault="0054021B" w:rsidP="005B7B7D">
      <w:pPr>
        <w:numPr>
          <w:ilvl w:val="0"/>
          <w:numId w:val="4"/>
        </w:numPr>
        <w:spacing w:line="240" w:lineRule="auto"/>
        <w:rPr>
          <w:sz w:val="18"/>
          <w:szCs w:val="18"/>
        </w:rPr>
      </w:pPr>
      <w:r w:rsidRPr="005B7B7D">
        <w:rPr>
          <w:i/>
          <w:iCs/>
          <w:sz w:val="18"/>
          <w:szCs w:val="18"/>
          <w:vertAlign w:val="superscript"/>
        </w:rPr>
        <w:t>d</w:t>
      </w:r>
      <w:r w:rsidRPr="005B7B7D">
        <w:rPr>
          <w:sz w:val="18"/>
          <w:szCs w:val="18"/>
        </w:rPr>
        <w:t xml:space="preserve"> Precommitment contracts (or devices) consist of self‐imposed, present day costs or restrictions that are aimed at increasing one's welfare in the future. </w:t>
      </w:r>
    </w:p>
    <w:p w:rsidR="0054021B" w:rsidRPr="005B7B7D" w:rsidRDefault="0054021B" w:rsidP="005B7B7D">
      <w:pPr>
        <w:spacing w:line="240" w:lineRule="auto"/>
        <w:rPr>
          <w:sz w:val="18"/>
          <w:szCs w:val="18"/>
        </w:rPr>
      </w:pPr>
    </w:p>
    <w:p w:rsidR="00B5396D" w:rsidRPr="005B7B7D" w:rsidRDefault="00B5396D" w:rsidP="005B7B7D">
      <w:pPr>
        <w:spacing w:line="240" w:lineRule="auto"/>
        <w:rPr>
          <w:sz w:val="18"/>
          <w:szCs w:val="18"/>
        </w:rPr>
      </w:pPr>
    </w:p>
    <w:sectPr w:rsidR="00B5396D" w:rsidRPr="005B7B7D" w:rsidSect="0061198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FD5" w:rsidRDefault="00756FD5" w:rsidP="00071B64">
      <w:pPr>
        <w:spacing w:after="0" w:line="240" w:lineRule="auto"/>
      </w:pPr>
      <w:r>
        <w:separator/>
      </w:r>
    </w:p>
  </w:endnote>
  <w:endnote w:type="continuationSeparator" w:id="0">
    <w:p w:rsidR="00756FD5" w:rsidRDefault="00756FD5" w:rsidP="0007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945474"/>
      <w:docPartObj>
        <w:docPartGallery w:val="Page Numbers (Bottom of Page)"/>
        <w:docPartUnique/>
      </w:docPartObj>
    </w:sdtPr>
    <w:sdtEndPr>
      <w:rPr>
        <w:noProof/>
      </w:rPr>
    </w:sdtEndPr>
    <w:sdtContent>
      <w:p w:rsidR="00071B64" w:rsidRDefault="0093022C">
        <w:pPr>
          <w:pStyle w:val="a6"/>
          <w:jc w:val="right"/>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-444500</wp:posOffset>
                  </wp:positionH>
                  <wp:positionV relativeFrom="paragraph">
                    <wp:posOffset>112395</wp:posOffset>
                  </wp:positionV>
                  <wp:extent cx="2324100" cy="349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24100" cy="349250"/>
                          </a:xfrm>
                          <a:prstGeom prst="rect">
                            <a:avLst/>
                          </a:prstGeom>
                          <a:solidFill>
                            <a:schemeClr val="lt1"/>
                          </a:solidFill>
                          <a:ln w="6350">
                            <a:noFill/>
                          </a:ln>
                        </wps:spPr>
                        <wps:txbx>
                          <w:txbxContent>
                            <w:p w:rsidR="0093022C" w:rsidRDefault="0093022C">
                              <w:r>
                                <w:t>Dr Leena Baghdadi 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pt;margin-top:8.85pt;width:183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6hQQIAAHkEAAAOAAAAZHJzL2Uyb0RvYy54bWysVN9v2jAQfp+0/8Hy+wiktGtRQ8WomCah&#10;thJMfTaOUyI5Ps82JOyv32cHaNftadqLc74734/vu8vtXddotlfO12QKPhoMOVNGUlmbl4J/Xy8+&#10;XXPmgzCl0GRUwQ/K87vpxw+3rZ2onLakS+UYghg/aW3BtyHYSZZ5uVWN8AOyysBYkWtEwNW9ZKUT&#10;LaI3OsuHw6usJVdaR1J5D+19b+TTFL+qlAyPVeVVYLrgqC2k06VzE89seismL07YbS2PZYh/qKIR&#10;tUHSc6h7EQTbufqPUE0tHXmqwkBSk1FV1VKlHtDNaPium9VWWJV6ATjenmHy/y+sfNg/OVaXBc85&#10;M6IBRWvVBfaFOpZHdFrrJ3BaWbiFDmqwfNJ7KGPTXeWa+EU7DHbgfDhjG4NJKPOLfDwawiRhuxjf&#10;5JcJ/Oz1tXU+fFXUsCgU3IG7BKnYL31AJXA9ucRknnRdLmqt0yXOi5prx/YCTOuQasSL37y0YW3B&#10;ry6QOj4yFJ/3kbVBgthr31OUQrfpjgBsqDygf0f9/HgrFzWKXAofnoTDwKAvLEF4xFFpQhI6Spxt&#10;yf38mz76g0dYOWsxgAX3P3bCKc70NwOGb0bjcZzYdBlffs5xcW8tm7cWs2vmhM5HWDcrkxj9gz6J&#10;laPmGbsyi1lhEkYid8HDSZyHfi2wa1LNZskJM2pFWJqVlTF0BC1SsO6ehbNHngIYfqDTqIrJO7p6&#10;3x7u2S5QVScuI8A9qkfcMd+J4uMuxgV6e09er3+M6S8AAAD//wMAUEsDBBQABgAIAAAAIQBUhqAS&#10;4AAAAAkBAAAPAAAAZHJzL2Rvd25yZXYueG1sTI/NTsMwEITvSLyDtUhcUOuQirqEOBVC/EjcaKCI&#10;mxsvSUS8jmI3CW/PcoLjzoxmv8m3s+vEiENoPWm4XCYgkCpvW6o1vJYPiw2IEA1Z03lCDd8YYFuc&#10;nuQms36iFxx3sRZcQiEzGpoY+0zKUDXoTFj6Hom9Tz84E/kcamkHM3G562SaJGvpTEv8oTE93jVY&#10;fe2OTsPHRf3+HObHt2l1tervn8ZS7W2p9fnZfHsDIuIc/8Lwi8/oUDDTwR/JBtFpWKiEt0Q2lALB&#10;gfR6zcJBg0oVyCKX/xcUPwAAAP//AwBQSwECLQAUAAYACAAAACEAtoM4kv4AAADhAQAAEwAAAAAA&#10;AAAAAAAAAAAAAAAAW0NvbnRlbnRfVHlwZXNdLnhtbFBLAQItABQABgAIAAAAIQA4/SH/1gAAAJQB&#10;AAALAAAAAAAAAAAAAAAAAC8BAABfcmVscy8ucmVsc1BLAQItABQABgAIAAAAIQChoL6hQQIAAHkE&#10;AAAOAAAAAAAAAAAAAAAAAC4CAABkcnMvZTJvRG9jLnhtbFBLAQItABQABgAIAAAAIQBUhqAS4AAA&#10;AAkBAAAPAAAAAAAAAAAAAAAAAJsEAABkcnMvZG93bnJldi54bWxQSwUGAAAAAAQABADzAAAAqAUA&#10;AAAA&#10;" fillcolor="white [3201]" stroked="f" strokeweight=".5pt">
                  <v:textbox>
                    <w:txbxContent>
                      <w:p w:rsidR="0093022C" w:rsidRDefault="0093022C">
                        <w:r>
                          <w:t>Dr Leena Baghdadi March 2019</w:t>
                        </w:r>
                      </w:p>
                    </w:txbxContent>
                  </v:textbox>
                </v:shape>
              </w:pict>
            </mc:Fallback>
          </mc:AlternateContent>
        </w:r>
        <w:r w:rsidR="00071B64">
          <w:fldChar w:fldCharType="begin"/>
        </w:r>
        <w:r w:rsidR="00071B64">
          <w:instrText xml:space="preserve"> PAGE   \* MERGEFORMAT </w:instrText>
        </w:r>
        <w:r w:rsidR="00071B64">
          <w:fldChar w:fldCharType="separate"/>
        </w:r>
        <w:r w:rsidR="00A11B1E">
          <w:rPr>
            <w:noProof/>
          </w:rPr>
          <w:t>1</w:t>
        </w:r>
        <w:r w:rsidR="00071B64">
          <w:rPr>
            <w:noProof/>
          </w:rPr>
          <w:fldChar w:fldCharType="end"/>
        </w:r>
      </w:p>
    </w:sdtContent>
  </w:sdt>
  <w:p w:rsidR="00071B64" w:rsidRDefault="00071B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FD5" w:rsidRDefault="00756FD5" w:rsidP="00071B64">
      <w:pPr>
        <w:spacing w:after="0" w:line="240" w:lineRule="auto"/>
      </w:pPr>
      <w:r>
        <w:separator/>
      </w:r>
    </w:p>
  </w:footnote>
  <w:footnote w:type="continuationSeparator" w:id="0">
    <w:p w:rsidR="00756FD5" w:rsidRDefault="00756FD5" w:rsidP="00071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64" w:rsidRDefault="00071B64" w:rsidP="00071B64">
    <w:pPr>
      <w:pStyle w:val="a5"/>
      <w:bidi/>
    </w:pPr>
    <w:r>
      <w:rPr>
        <w:noProof/>
        <w:lang w:val="en-US"/>
      </w:rPr>
      <w:drawing>
        <wp:inline distT="0" distB="0" distL="0" distR="0" wp14:anchorId="28BAD5E9" wp14:editId="63FD4053">
          <wp:extent cx="1270000" cy="508000"/>
          <wp:effectExtent l="0" t="0" r="635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871" cy="5127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80729"/>
    <w:multiLevelType w:val="hybridMultilevel"/>
    <w:tmpl w:val="BA2A4F52"/>
    <w:lvl w:ilvl="0" w:tplc="605C1EE2">
      <w:start w:val="1"/>
      <w:numFmt w:val="bullet"/>
      <w:lvlText w:val="■"/>
      <w:lvlJc w:val="left"/>
      <w:pPr>
        <w:tabs>
          <w:tab w:val="num" w:pos="720"/>
        </w:tabs>
        <w:ind w:left="720" w:hanging="360"/>
      </w:pPr>
      <w:rPr>
        <w:rFonts w:ascii="Franklin Gothic Book" w:hAnsi="Franklin Gothic Book" w:hint="default"/>
      </w:rPr>
    </w:lvl>
    <w:lvl w:ilvl="1" w:tplc="35427E8C" w:tentative="1">
      <w:start w:val="1"/>
      <w:numFmt w:val="bullet"/>
      <w:lvlText w:val="■"/>
      <w:lvlJc w:val="left"/>
      <w:pPr>
        <w:tabs>
          <w:tab w:val="num" w:pos="1440"/>
        </w:tabs>
        <w:ind w:left="1440" w:hanging="360"/>
      </w:pPr>
      <w:rPr>
        <w:rFonts w:ascii="Franklin Gothic Book" w:hAnsi="Franklin Gothic Book" w:hint="default"/>
      </w:rPr>
    </w:lvl>
    <w:lvl w:ilvl="2" w:tplc="282A1B90" w:tentative="1">
      <w:start w:val="1"/>
      <w:numFmt w:val="bullet"/>
      <w:lvlText w:val="■"/>
      <w:lvlJc w:val="left"/>
      <w:pPr>
        <w:tabs>
          <w:tab w:val="num" w:pos="2160"/>
        </w:tabs>
        <w:ind w:left="2160" w:hanging="360"/>
      </w:pPr>
      <w:rPr>
        <w:rFonts w:ascii="Franklin Gothic Book" w:hAnsi="Franklin Gothic Book" w:hint="default"/>
      </w:rPr>
    </w:lvl>
    <w:lvl w:ilvl="3" w:tplc="AD58931A" w:tentative="1">
      <w:start w:val="1"/>
      <w:numFmt w:val="bullet"/>
      <w:lvlText w:val="■"/>
      <w:lvlJc w:val="left"/>
      <w:pPr>
        <w:tabs>
          <w:tab w:val="num" w:pos="2880"/>
        </w:tabs>
        <w:ind w:left="2880" w:hanging="360"/>
      </w:pPr>
      <w:rPr>
        <w:rFonts w:ascii="Franklin Gothic Book" w:hAnsi="Franklin Gothic Book" w:hint="default"/>
      </w:rPr>
    </w:lvl>
    <w:lvl w:ilvl="4" w:tplc="C27A74A0" w:tentative="1">
      <w:start w:val="1"/>
      <w:numFmt w:val="bullet"/>
      <w:lvlText w:val="■"/>
      <w:lvlJc w:val="left"/>
      <w:pPr>
        <w:tabs>
          <w:tab w:val="num" w:pos="3600"/>
        </w:tabs>
        <w:ind w:left="3600" w:hanging="360"/>
      </w:pPr>
      <w:rPr>
        <w:rFonts w:ascii="Franklin Gothic Book" w:hAnsi="Franklin Gothic Book" w:hint="default"/>
      </w:rPr>
    </w:lvl>
    <w:lvl w:ilvl="5" w:tplc="974839AE" w:tentative="1">
      <w:start w:val="1"/>
      <w:numFmt w:val="bullet"/>
      <w:lvlText w:val="■"/>
      <w:lvlJc w:val="left"/>
      <w:pPr>
        <w:tabs>
          <w:tab w:val="num" w:pos="4320"/>
        </w:tabs>
        <w:ind w:left="4320" w:hanging="360"/>
      </w:pPr>
      <w:rPr>
        <w:rFonts w:ascii="Franklin Gothic Book" w:hAnsi="Franklin Gothic Book" w:hint="default"/>
      </w:rPr>
    </w:lvl>
    <w:lvl w:ilvl="6" w:tplc="430C7B00" w:tentative="1">
      <w:start w:val="1"/>
      <w:numFmt w:val="bullet"/>
      <w:lvlText w:val="■"/>
      <w:lvlJc w:val="left"/>
      <w:pPr>
        <w:tabs>
          <w:tab w:val="num" w:pos="5040"/>
        </w:tabs>
        <w:ind w:left="5040" w:hanging="360"/>
      </w:pPr>
      <w:rPr>
        <w:rFonts w:ascii="Franklin Gothic Book" w:hAnsi="Franklin Gothic Book" w:hint="default"/>
      </w:rPr>
    </w:lvl>
    <w:lvl w:ilvl="7" w:tplc="2C2E5568" w:tentative="1">
      <w:start w:val="1"/>
      <w:numFmt w:val="bullet"/>
      <w:lvlText w:val="■"/>
      <w:lvlJc w:val="left"/>
      <w:pPr>
        <w:tabs>
          <w:tab w:val="num" w:pos="5760"/>
        </w:tabs>
        <w:ind w:left="5760" w:hanging="360"/>
      </w:pPr>
      <w:rPr>
        <w:rFonts w:ascii="Franklin Gothic Book" w:hAnsi="Franklin Gothic Book" w:hint="default"/>
      </w:rPr>
    </w:lvl>
    <w:lvl w:ilvl="8" w:tplc="0AD00972" w:tentative="1">
      <w:start w:val="1"/>
      <w:numFmt w:val="bullet"/>
      <w:lvlText w:val="■"/>
      <w:lvlJc w:val="left"/>
      <w:pPr>
        <w:tabs>
          <w:tab w:val="num" w:pos="6480"/>
        </w:tabs>
        <w:ind w:left="6480" w:hanging="360"/>
      </w:pPr>
      <w:rPr>
        <w:rFonts w:ascii="Franklin Gothic Book" w:hAnsi="Franklin Gothic Book" w:hint="default"/>
      </w:rPr>
    </w:lvl>
  </w:abstractNum>
  <w:abstractNum w:abstractNumId="1">
    <w:nsid w:val="3EB61FD9"/>
    <w:multiLevelType w:val="hybridMultilevel"/>
    <w:tmpl w:val="BEAC52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11F74FD"/>
    <w:multiLevelType w:val="multilevel"/>
    <w:tmpl w:val="C9AC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B7BD6"/>
    <w:multiLevelType w:val="hybridMultilevel"/>
    <w:tmpl w:val="F16C3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1A"/>
    <w:rsid w:val="00071B64"/>
    <w:rsid w:val="00210BF7"/>
    <w:rsid w:val="002658BE"/>
    <w:rsid w:val="004074C6"/>
    <w:rsid w:val="00421512"/>
    <w:rsid w:val="00453B1A"/>
    <w:rsid w:val="004B5495"/>
    <w:rsid w:val="0053192D"/>
    <w:rsid w:val="0054021B"/>
    <w:rsid w:val="005B7B7D"/>
    <w:rsid w:val="005F37CE"/>
    <w:rsid w:val="00611988"/>
    <w:rsid w:val="00683EEC"/>
    <w:rsid w:val="00756FD5"/>
    <w:rsid w:val="007F1637"/>
    <w:rsid w:val="009042A9"/>
    <w:rsid w:val="0093022C"/>
    <w:rsid w:val="00A06D58"/>
    <w:rsid w:val="00A11B1E"/>
    <w:rsid w:val="00A76ADC"/>
    <w:rsid w:val="00AC2D04"/>
    <w:rsid w:val="00B5396D"/>
    <w:rsid w:val="00CB23AA"/>
    <w:rsid w:val="00CC4FD9"/>
    <w:rsid w:val="00DB405E"/>
    <w:rsid w:val="00E16BE5"/>
    <w:rsid w:val="00ED5E5A"/>
    <w:rsid w:val="00FC09B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4AB6B2-B7F5-498F-9139-DD4E7E01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453B1A"/>
    <w:pPr>
      <w:keepNext/>
      <w:keepLines/>
      <w:spacing w:before="240" w:after="0"/>
      <w:outlineLvl w:val="0"/>
    </w:pPr>
    <w:rPr>
      <w:rFonts w:asciiTheme="majorHAnsi" w:eastAsiaTheme="majorEastAsia" w:hAnsiTheme="majorHAnsi" w:cstheme="majorBidi"/>
      <w:b/>
      <w:sz w:val="32"/>
      <w:szCs w:val="32"/>
    </w:rPr>
  </w:style>
  <w:style w:type="paragraph" w:styleId="2">
    <w:name w:val="heading 2"/>
    <w:basedOn w:val="a"/>
    <w:next w:val="a"/>
    <w:link w:val="2Char"/>
    <w:uiPriority w:val="9"/>
    <w:unhideWhenUsed/>
    <w:qFormat/>
    <w:rsid w:val="00453B1A"/>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B1A"/>
    <w:pPr>
      <w:ind w:left="720"/>
      <w:contextualSpacing/>
    </w:pPr>
  </w:style>
  <w:style w:type="character" w:customStyle="1" w:styleId="2Char">
    <w:name w:val="عنوان 2 Char"/>
    <w:basedOn w:val="a0"/>
    <w:link w:val="2"/>
    <w:uiPriority w:val="9"/>
    <w:rsid w:val="00453B1A"/>
    <w:rPr>
      <w:rFonts w:asciiTheme="majorHAnsi" w:eastAsiaTheme="majorEastAsia" w:hAnsiTheme="majorHAnsi" w:cstheme="majorBidi"/>
      <w:b/>
      <w:color w:val="000000" w:themeColor="text1"/>
      <w:sz w:val="26"/>
      <w:szCs w:val="26"/>
    </w:rPr>
  </w:style>
  <w:style w:type="character" w:customStyle="1" w:styleId="1Char">
    <w:name w:val="عنوان 1 Char"/>
    <w:basedOn w:val="a0"/>
    <w:link w:val="1"/>
    <w:uiPriority w:val="9"/>
    <w:rsid w:val="00453B1A"/>
    <w:rPr>
      <w:rFonts w:asciiTheme="majorHAnsi" w:eastAsiaTheme="majorEastAsia" w:hAnsiTheme="majorHAnsi" w:cstheme="majorBidi"/>
      <w:b/>
      <w:sz w:val="32"/>
      <w:szCs w:val="32"/>
    </w:rPr>
  </w:style>
  <w:style w:type="character" w:styleId="Hyperlink">
    <w:name w:val="Hyperlink"/>
    <w:basedOn w:val="a0"/>
    <w:uiPriority w:val="99"/>
    <w:unhideWhenUsed/>
    <w:rsid w:val="00B5396D"/>
    <w:rPr>
      <w:color w:val="0563C1" w:themeColor="hyperlink"/>
      <w:u w:val="single"/>
    </w:rPr>
  </w:style>
  <w:style w:type="character" w:customStyle="1" w:styleId="UnresolvedMention">
    <w:name w:val="Unresolved Mention"/>
    <w:basedOn w:val="a0"/>
    <w:uiPriority w:val="99"/>
    <w:semiHidden/>
    <w:unhideWhenUsed/>
    <w:rsid w:val="00B5396D"/>
    <w:rPr>
      <w:color w:val="605E5C"/>
      <w:shd w:val="clear" w:color="auto" w:fill="E1DFDD"/>
    </w:rPr>
  </w:style>
  <w:style w:type="table" w:styleId="a4">
    <w:name w:val="Table Grid"/>
    <w:basedOn w:val="a1"/>
    <w:uiPriority w:val="39"/>
    <w:rsid w:val="005B7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List Table 3 Accent 1"/>
    <w:basedOn w:val="a1"/>
    <w:uiPriority w:val="48"/>
    <w:rsid w:val="005B7B7D"/>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a5">
    <w:name w:val="header"/>
    <w:basedOn w:val="a"/>
    <w:link w:val="Char"/>
    <w:uiPriority w:val="99"/>
    <w:unhideWhenUsed/>
    <w:rsid w:val="00071B64"/>
    <w:pPr>
      <w:tabs>
        <w:tab w:val="center" w:pos="4513"/>
        <w:tab w:val="right" w:pos="9026"/>
      </w:tabs>
      <w:spacing w:after="0" w:line="240" w:lineRule="auto"/>
    </w:pPr>
  </w:style>
  <w:style w:type="character" w:customStyle="1" w:styleId="Char">
    <w:name w:val="رأس الصفحة Char"/>
    <w:basedOn w:val="a0"/>
    <w:link w:val="a5"/>
    <w:uiPriority w:val="99"/>
    <w:rsid w:val="00071B64"/>
  </w:style>
  <w:style w:type="paragraph" w:styleId="a6">
    <w:name w:val="footer"/>
    <w:basedOn w:val="a"/>
    <w:link w:val="Char0"/>
    <w:uiPriority w:val="99"/>
    <w:unhideWhenUsed/>
    <w:rsid w:val="00071B64"/>
    <w:pPr>
      <w:tabs>
        <w:tab w:val="center" w:pos="4513"/>
        <w:tab w:val="right" w:pos="9026"/>
      </w:tabs>
      <w:spacing w:after="0" w:line="240" w:lineRule="auto"/>
    </w:pPr>
  </w:style>
  <w:style w:type="character" w:customStyle="1" w:styleId="Char0">
    <w:name w:val="تذييل الصفحة Char"/>
    <w:basedOn w:val="a0"/>
    <w:link w:val="a6"/>
    <w:uiPriority w:val="99"/>
    <w:rsid w:val="0007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08505">
      <w:bodyDiv w:val="1"/>
      <w:marLeft w:val="0"/>
      <w:marRight w:val="0"/>
      <w:marTop w:val="0"/>
      <w:marBottom w:val="0"/>
      <w:divBdr>
        <w:top w:val="none" w:sz="0" w:space="0" w:color="auto"/>
        <w:left w:val="none" w:sz="0" w:space="0" w:color="auto"/>
        <w:bottom w:val="none" w:sz="0" w:space="0" w:color="auto"/>
        <w:right w:val="none" w:sz="0" w:space="0" w:color="auto"/>
      </w:divBdr>
      <w:divsChild>
        <w:div w:id="1215658913">
          <w:marLeft w:val="605"/>
          <w:marRight w:val="0"/>
          <w:marTop w:val="200"/>
          <w:marBottom w:val="40"/>
          <w:divBdr>
            <w:top w:val="none" w:sz="0" w:space="0" w:color="auto"/>
            <w:left w:val="none" w:sz="0" w:space="0" w:color="auto"/>
            <w:bottom w:val="none" w:sz="0" w:space="0" w:color="auto"/>
            <w:right w:val="none" w:sz="0" w:space="0" w:color="auto"/>
          </w:divBdr>
        </w:div>
        <w:div w:id="1702393384">
          <w:marLeft w:val="605"/>
          <w:marRight w:val="0"/>
          <w:marTop w:val="200"/>
          <w:marBottom w:val="40"/>
          <w:divBdr>
            <w:top w:val="none" w:sz="0" w:space="0" w:color="auto"/>
            <w:left w:val="none" w:sz="0" w:space="0" w:color="auto"/>
            <w:bottom w:val="none" w:sz="0" w:space="0" w:color="auto"/>
            <w:right w:val="none" w:sz="0" w:space="0" w:color="auto"/>
          </w:divBdr>
        </w:div>
        <w:div w:id="1106660533">
          <w:marLeft w:val="605"/>
          <w:marRight w:val="0"/>
          <w:marTop w:val="200"/>
          <w:marBottom w:val="40"/>
          <w:divBdr>
            <w:top w:val="none" w:sz="0" w:space="0" w:color="auto"/>
            <w:left w:val="none" w:sz="0" w:space="0" w:color="auto"/>
            <w:bottom w:val="none" w:sz="0" w:space="0" w:color="auto"/>
            <w:right w:val="none" w:sz="0" w:space="0" w:color="auto"/>
          </w:divBdr>
        </w:div>
      </w:divsChild>
    </w:div>
    <w:div w:id="1796753400">
      <w:bodyDiv w:val="1"/>
      <w:marLeft w:val="0"/>
      <w:marRight w:val="0"/>
      <w:marTop w:val="0"/>
      <w:marBottom w:val="0"/>
      <w:divBdr>
        <w:top w:val="none" w:sz="0" w:space="0" w:color="auto"/>
        <w:left w:val="none" w:sz="0" w:space="0" w:color="auto"/>
        <w:bottom w:val="none" w:sz="0" w:space="0" w:color="auto"/>
        <w:right w:val="none" w:sz="0" w:space="0" w:color="auto"/>
      </w:divBdr>
      <w:divsChild>
        <w:div w:id="1711147462">
          <w:marLeft w:val="0"/>
          <w:marRight w:val="0"/>
          <w:marTop w:val="0"/>
          <w:marBottom w:val="0"/>
          <w:divBdr>
            <w:top w:val="single" w:sz="6" w:space="11" w:color="BDBBB7"/>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linelibrary.wiley.com/doi/full/10.3322/caac.21394" TargetMode="External"/><Relationship Id="rId3" Type="http://schemas.openxmlformats.org/officeDocument/2006/relationships/settings" Target="settings.xml"/><Relationship Id="rId7" Type="http://schemas.openxmlformats.org/officeDocument/2006/relationships/hyperlink" Target="https://onlinelibrary.wiley.com/doi/full/10.3322/caac.21394" TargetMode="External"/><Relationship Id="rId12" Type="http://schemas.openxmlformats.org/officeDocument/2006/relationships/hyperlink" Target="https://onlinelibrary.wiley.com/doi/full/10.3322/caac.213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doi/full/10.3322/caac.21394" TargetMode="External"/><Relationship Id="rId5" Type="http://schemas.openxmlformats.org/officeDocument/2006/relationships/footnotes" Target="footnotes.xml"/><Relationship Id="rId15" Type="http://schemas.openxmlformats.org/officeDocument/2006/relationships/hyperlink" Target="https://onlinelibrary.wiley.com/doi/full/10.3322/caac.21394" TargetMode="External"/><Relationship Id="rId10" Type="http://schemas.openxmlformats.org/officeDocument/2006/relationships/hyperlink" Target="https://onlinelibrary.wiley.com/doi/full/10.3322/caac.2139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nlinelibrary.wiley.com/doi/full/10.3322/caac.213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4951</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Baghdadi</dc:creator>
  <cp:keywords/>
  <dc:description/>
  <cp:lastModifiedBy>Star</cp:lastModifiedBy>
  <cp:revision>2</cp:revision>
  <dcterms:created xsi:type="dcterms:W3CDTF">2019-03-31T09:39:00Z</dcterms:created>
  <dcterms:modified xsi:type="dcterms:W3CDTF">2019-03-31T09:39:00Z</dcterms:modified>
</cp:coreProperties>
</file>