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1FD1D" w14:textId="77777777" w:rsidR="00D90652" w:rsidRPr="00136472" w:rsidRDefault="003471D1" w:rsidP="00D90652">
      <w:pPr>
        <w:numPr>
          <w:ilvl w:val="0"/>
          <w:numId w:val="3"/>
        </w:numPr>
        <w:rPr>
          <w:color w:val="000090"/>
        </w:rPr>
      </w:pPr>
      <w:r w:rsidRPr="00136472">
        <w:rPr>
          <w:noProof/>
          <w:color w:val="000090"/>
        </w:rPr>
        <mc:AlternateContent>
          <mc:Choice Requires="wps">
            <w:drawing>
              <wp:anchor distT="0" distB="0" distL="114300" distR="114300" simplePos="0" relativeHeight="251659264" behindDoc="0" locked="0" layoutInCell="1" allowOverlap="1" wp14:anchorId="58115A60" wp14:editId="2CC4F17D">
                <wp:simplePos x="0" y="0"/>
                <wp:positionH relativeFrom="column">
                  <wp:posOffset>-1143000</wp:posOffset>
                </wp:positionH>
                <wp:positionV relativeFrom="paragraph">
                  <wp:posOffset>-914400</wp:posOffset>
                </wp:positionV>
                <wp:extent cx="51435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143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004052" w14:textId="77777777" w:rsidR="00291938" w:rsidRPr="00AC48EC" w:rsidRDefault="00291938" w:rsidP="003471D1">
                            <w:pPr>
                              <w:rPr>
                                <w:sz w:val="26"/>
                                <w:szCs w:val="26"/>
                              </w:rPr>
                            </w:pPr>
                            <w:r w:rsidRPr="00AC48EC">
                              <w:rPr>
                                <w:sz w:val="26"/>
                                <w:szCs w:val="26"/>
                              </w:rPr>
                              <w:t xml:space="preserve">Done By: Nawaf Alfawzan, </w:t>
                            </w:r>
                            <w:proofErr w:type="spellStart"/>
                            <w:r w:rsidRPr="00AC48EC">
                              <w:rPr>
                                <w:sz w:val="26"/>
                                <w:szCs w:val="26"/>
                              </w:rPr>
                              <w:t>Abdulrahman</w:t>
                            </w:r>
                            <w:proofErr w:type="spellEnd"/>
                            <w:r w:rsidRPr="00AC48EC">
                              <w:rPr>
                                <w:sz w:val="26"/>
                                <w:szCs w:val="26"/>
                              </w:rPr>
                              <w:t xml:space="preserve"> </w:t>
                            </w:r>
                            <w:proofErr w:type="spellStart"/>
                            <w:r w:rsidRPr="00AC48EC">
                              <w:rPr>
                                <w:sz w:val="26"/>
                                <w:szCs w:val="26"/>
                              </w:rPr>
                              <w:t>Alkaff</w:t>
                            </w:r>
                            <w:proofErr w:type="spellEnd"/>
                            <w:r w:rsidRPr="00AC48EC">
                              <w:rPr>
                                <w:sz w:val="26"/>
                                <w:szCs w:val="26"/>
                              </w:rPr>
                              <w:t xml:space="preserve">, </w:t>
                            </w:r>
                            <w:proofErr w:type="gramStart"/>
                            <w:r w:rsidRPr="00AC48EC">
                              <w:rPr>
                                <w:sz w:val="26"/>
                                <w:szCs w:val="26"/>
                              </w:rPr>
                              <w:t>Faisal</w:t>
                            </w:r>
                            <w:proofErr w:type="gramEnd"/>
                            <w:r w:rsidRPr="00AC48EC">
                              <w:rPr>
                                <w:sz w:val="26"/>
                                <w:szCs w:val="26"/>
                              </w:rPr>
                              <w:t xml:space="preserve"> </w:t>
                            </w:r>
                            <w:proofErr w:type="spellStart"/>
                            <w:r w:rsidRPr="00AC48EC">
                              <w:rPr>
                                <w:sz w:val="26"/>
                                <w:szCs w:val="26"/>
                              </w:rPr>
                              <w:t>Aljabreen</w:t>
                            </w:r>
                            <w:proofErr w:type="spellEnd"/>
                            <w:r>
                              <w:rPr>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9.95pt;margin-top:-71.95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GbMM0CAAAO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" filled="f" stroked="f">
                <v:textbox>
                  <w:txbxContent>
                    <w:p w14:paraId="24004052" w14:textId="77777777" w:rsidR="00291938" w:rsidRPr="00AC48EC" w:rsidRDefault="00291938" w:rsidP="003471D1">
                      <w:pPr>
                        <w:rPr>
                          <w:sz w:val="26"/>
                          <w:szCs w:val="26"/>
                        </w:rPr>
                      </w:pPr>
                      <w:r w:rsidRPr="00AC48EC">
                        <w:rPr>
                          <w:sz w:val="26"/>
                          <w:szCs w:val="26"/>
                        </w:rPr>
                        <w:t xml:space="preserve">Done By: Nawaf Alfawzan, </w:t>
                      </w:r>
                      <w:proofErr w:type="spellStart"/>
                      <w:r w:rsidRPr="00AC48EC">
                        <w:rPr>
                          <w:sz w:val="26"/>
                          <w:szCs w:val="26"/>
                        </w:rPr>
                        <w:t>Abdulrahman</w:t>
                      </w:r>
                      <w:proofErr w:type="spellEnd"/>
                      <w:r w:rsidRPr="00AC48EC">
                        <w:rPr>
                          <w:sz w:val="26"/>
                          <w:szCs w:val="26"/>
                        </w:rPr>
                        <w:t xml:space="preserve"> </w:t>
                      </w:r>
                      <w:proofErr w:type="spellStart"/>
                      <w:r w:rsidRPr="00AC48EC">
                        <w:rPr>
                          <w:sz w:val="26"/>
                          <w:szCs w:val="26"/>
                        </w:rPr>
                        <w:t>Alkaff</w:t>
                      </w:r>
                      <w:proofErr w:type="spellEnd"/>
                      <w:r w:rsidRPr="00AC48EC">
                        <w:rPr>
                          <w:sz w:val="26"/>
                          <w:szCs w:val="26"/>
                        </w:rPr>
                        <w:t xml:space="preserve">, </w:t>
                      </w:r>
                      <w:proofErr w:type="gramStart"/>
                      <w:r w:rsidRPr="00AC48EC">
                        <w:rPr>
                          <w:sz w:val="26"/>
                          <w:szCs w:val="26"/>
                        </w:rPr>
                        <w:t>Faisal</w:t>
                      </w:r>
                      <w:proofErr w:type="gramEnd"/>
                      <w:r w:rsidRPr="00AC48EC">
                        <w:rPr>
                          <w:sz w:val="26"/>
                          <w:szCs w:val="26"/>
                        </w:rPr>
                        <w:t xml:space="preserve"> </w:t>
                      </w:r>
                      <w:proofErr w:type="spellStart"/>
                      <w:r w:rsidRPr="00AC48EC">
                        <w:rPr>
                          <w:sz w:val="26"/>
                          <w:szCs w:val="26"/>
                        </w:rPr>
                        <w:t>Aljabreen</w:t>
                      </w:r>
                      <w:proofErr w:type="spellEnd"/>
                      <w:r>
                        <w:rPr>
                          <w:sz w:val="26"/>
                          <w:szCs w:val="26"/>
                        </w:rPr>
                        <w:t>.</w:t>
                      </w:r>
                    </w:p>
                  </w:txbxContent>
                </v:textbox>
                <w10:wrap type="square"/>
              </v:shape>
            </w:pict>
          </mc:Fallback>
        </mc:AlternateContent>
      </w:r>
      <w:r w:rsidR="00AC48EC" w:rsidRPr="00136472">
        <w:rPr>
          <w:noProof/>
          <w:color w:val="000090"/>
        </w:rPr>
        <mc:AlternateContent>
          <mc:Choice Requires="wps">
            <w:drawing>
              <wp:anchor distT="0" distB="0" distL="114300" distR="114300" simplePos="0" relativeHeight="251661312" behindDoc="0" locked="0" layoutInCell="1" allowOverlap="1" wp14:anchorId="1A710F5F" wp14:editId="7E676382">
                <wp:simplePos x="0" y="0"/>
                <wp:positionH relativeFrom="column">
                  <wp:posOffset>-114300</wp:posOffset>
                </wp:positionH>
                <wp:positionV relativeFrom="paragraph">
                  <wp:posOffset>-457200</wp:posOffset>
                </wp:positionV>
                <wp:extent cx="52578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257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DA57F9" w14:textId="77777777" w:rsidR="00291938" w:rsidRPr="00AC48EC" w:rsidRDefault="00291938" w:rsidP="00AC48EC">
                            <w:pPr>
                              <w:jc w:val="center"/>
                              <w:rPr>
                                <w:b/>
                                <w:sz w:val="32"/>
                                <w:szCs w:val="26"/>
                              </w:rPr>
                            </w:pPr>
                            <w:r w:rsidRPr="00AC48EC">
                              <w:rPr>
                                <w:b/>
                                <w:sz w:val="32"/>
                              </w:rPr>
                              <w:t>Osteoporosis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8.95pt;margin-top:-35.95pt;width:41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a0ctACAAAV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" filled="f" stroked="f">
                <v:textbox>
                  <w:txbxContent>
                    <w:p w14:paraId="5DDA57F9" w14:textId="77777777" w:rsidR="00291938" w:rsidRPr="00AC48EC" w:rsidRDefault="00291938" w:rsidP="00AC48EC">
                      <w:pPr>
                        <w:jc w:val="center"/>
                        <w:rPr>
                          <w:b/>
                          <w:sz w:val="32"/>
                          <w:szCs w:val="26"/>
                        </w:rPr>
                      </w:pPr>
                      <w:r w:rsidRPr="00AC48EC">
                        <w:rPr>
                          <w:b/>
                          <w:sz w:val="32"/>
                        </w:rPr>
                        <w:t>Osteoporosis</w:t>
                      </w:r>
                    </w:p>
                  </w:txbxContent>
                </v:textbox>
                <w10:wrap type="square"/>
              </v:shape>
            </w:pict>
          </mc:Fallback>
        </mc:AlternateContent>
      </w:r>
      <w:r w:rsidR="00D90652" w:rsidRPr="00136472">
        <w:rPr>
          <w:color w:val="000090"/>
        </w:rPr>
        <w:t>Objectives</w:t>
      </w:r>
    </w:p>
    <w:p w14:paraId="59D80173" w14:textId="77777777" w:rsidR="00D90652" w:rsidRPr="00136472" w:rsidRDefault="00D90652" w:rsidP="00D90652">
      <w:pPr>
        <w:numPr>
          <w:ilvl w:val="0"/>
          <w:numId w:val="14"/>
        </w:numPr>
        <w:rPr>
          <w:color w:val="000090"/>
        </w:rPr>
      </w:pPr>
      <w:r w:rsidRPr="00136472">
        <w:rPr>
          <w:color w:val="000090"/>
        </w:rPr>
        <w:t xml:space="preserve">Definition of Osteoporosis and </w:t>
      </w:r>
      <w:proofErr w:type="spellStart"/>
      <w:r w:rsidRPr="00136472">
        <w:rPr>
          <w:color w:val="000090"/>
        </w:rPr>
        <w:t>Osteomalacia</w:t>
      </w:r>
      <w:proofErr w:type="spellEnd"/>
      <w:r w:rsidRPr="00136472">
        <w:rPr>
          <w:color w:val="000090"/>
        </w:rPr>
        <w:t xml:space="preserve"> / Rickets</w:t>
      </w:r>
    </w:p>
    <w:p w14:paraId="4EBC7BCB" w14:textId="77777777" w:rsidR="00D90652" w:rsidRPr="00136472" w:rsidRDefault="00D90652" w:rsidP="00D90652">
      <w:pPr>
        <w:numPr>
          <w:ilvl w:val="0"/>
          <w:numId w:val="14"/>
        </w:numPr>
        <w:rPr>
          <w:color w:val="000090"/>
        </w:rPr>
      </w:pPr>
      <w:r w:rsidRPr="00136472">
        <w:rPr>
          <w:color w:val="000090"/>
        </w:rPr>
        <w:t>Highlight on Vitamin D deficiency</w:t>
      </w:r>
    </w:p>
    <w:p w14:paraId="2FE60931" w14:textId="77777777" w:rsidR="00D90652" w:rsidRPr="00136472" w:rsidRDefault="00D90652" w:rsidP="00D90652">
      <w:pPr>
        <w:numPr>
          <w:ilvl w:val="0"/>
          <w:numId w:val="14"/>
        </w:numPr>
        <w:rPr>
          <w:color w:val="000090"/>
        </w:rPr>
      </w:pPr>
      <w:r w:rsidRPr="00136472">
        <w:rPr>
          <w:color w:val="000090"/>
        </w:rPr>
        <w:t>Prevalence in world / Saudi Arabia</w:t>
      </w:r>
    </w:p>
    <w:p w14:paraId="26FB6C9A" w14:textId="77777777" w:rsidR="00D90652" w:rsidRPr="00136472" w:rsidRDefault="00D90652" w:rsidP="00D90652">
      <w:pPr>
        <w:numPr>
          <w:ilvl w:val="0"/>
          <w:numId w:val="14"/>
        </w:numPr>
        <w:rPr>
          <w:color w:val="000090"/>
        </w:rPr>
      </w:pPr>
      <w:r w:rsidRPr="00136472">
        <w:rPr>
          <w:color w:val="000090"/>
        </w:rPr>
        <w:t>Factors lead to Osteoporosis and Vitamin D deficiency</w:t>
      </w:r>
    </w:p>
    <w:p w14:paraId="16821495" w14:textId="77777777" w:rsidR="00D90652" w:rsidRPr="00136472" w:rsidRDefault="00D90652" w:rsidP="00D90652">
      <w:pPr>
        <w:numPr>
          <w:ilvl w:val="0"/>
          <w:numId w:val="14"/>
        </w:numPr>
        <w:rPr>
          <w:color w:val="000090"/>
        </w:rPr>
      </w:pPr>
      <w:r w:rsidRPr="00136472">
        <w:rPr>
          <w:color w:val="000090"/>
        </w:rPr>
        <w:t>How patients could be presented</w:t>
      </w:r>
    </w:p>
    <w:p w14:paraId="175C5A4B" w14:textId="77777777" w:rsidR="00D90652" w:rsidRPr="00136472" w:rsidRDefault="00D90652" w:rsidP="00D90652">
      <w:pPr>
        <w:numPr>
          <w:ilvl w:val="0"/>
          <w:numId w:val="14"/>
        </w:numPr>
        <w:rPr>
          <w:color w:val="000090"/>
        </w:rPr>
      </w:pPr>
      <w:r w:rsidRPr="00136472">
        <w:rPr>
          <w:color w:val="000090"/>
        </w:rPr>
        <w:t>Common fractures with osteoporosis</w:t>
      </w:r>
    </w:p>
    <w:p w14:paraId="4D00B1A2" w14:textId="77777777" w:rsidR="00AC48EC" w:rsidRPr="00136472" w:rsidRDefault="00D90652" w:rsidP="00AC48EC">
      <w:pPr>
        <w:numPr>
          <w:ilvl w:val="0"/>
          <w:numId w:val="14"/>
        </w:numPr>
        <w:rPr>
          <w:color w:val="000090"/>
        </w:rPr>
      </w:pPr>
      <w:r w:rsidRPr="00136472">
        <w:rPr>
          <w:color w:val="000090"/>
        </w:rPr>
        <w:t>Vitamin D and Comorbidities</w:t>
      </w:r>
    </w:p>
    <w:p w14:paraId="2EAB6B25" w14:textId="77777777" w:rsidR="00AC48EC" w:rsidRPr="00136472" w:rsidRDefault="00AC48EC" w:rsidP="00AC48EC">
      <w:pPr>
        <w:numPr>
          <w:ilvl w:val="0"/>
          <w:numId w:val="14"/>
        </w:numPr>
        <w:rPr>
          <w:color w:val="000090"/>
        </w:rPr>
      </w:pPr>
      <w:r w:rsidRPr="00136472">
        <w:rPr>
          <w:color w:val="000090"/>
        </w:rPr>
        <w:t>Osteoporosis management:</w:t>
      </w:r>
    </w:p>
    <w:p w14:paraId="013A3560" w14:textId="77777777" w:rsidR="00D90652" w:rsidRDefault="00D90652" w:rsidP="00DD502F">
      <w:pPr>
        <w:rPr>
          <w:b/>
          <w:bCs/>
        </w:rPr>
      </w:pPr>
    </w:p>
    <w:p w14:paraId="311E4991" w14:textId="77777777" w:rsidR="009E13A6" w:rsidRPr="00A86D8A" w:rsidRDefault="00A16CE2" w:rsidP="00A16CE2">
      <w:pPr>
        <w:pStyle w:val="ListParagraph"/>
        <w:numPr>
          <w:ilvl w:val="0"/>
          <w:numId w:val="15"/>
        </w:numPr>
        <w:rPr>
          <w:b/>
          <w:bCs/>
          <w:color w:val="000090"/>
          <w:u w:val="single"/>
        </w:rPr>
      </w:pPr>
      <w:r w:rsidRPr="00A86D8A">
        <w:rPr>
          <w:b/>
          <w:bCs/>
          <w:color w:val="000090"/>
          <w:u w:val="single"/>
        </w:rPr>
        <w:t>Definition of o</w:t>
      </w:r>
      <w:r w:rsidR="00DD502F" w:rsidRPr="00A86D8A">
        <w:rPr>
          <w:b/>
          <w:bCs/>
          <w:color w:val="000090"/>
          <w:u w:val="single"/>
        </w:rPr>
        <w:t xml:space="preserve">steoporosis: </w:t>
      </w:r>
    </w:p>
    <w:p w14:paraId="71F90129" w14:textId="77777777" w:rsidR="00DD502F" w:rsidRPr="00DD502F" w:rsidRDefault="00DD502F" w:rsidP="00DD502F">
      <w:r w:rsidRPr="00DD502F">
        <w:t xml:space="preserve">Disease characterized by low bone mass and </w:t>
      </w:r>
      <w:proofErr w:type="spellStart"/>
      <w:r w:rsidRPr="00DD502F">
        <w:t>microarchitectural</w:t>
      </w:r>
      <w:proofErr w:type="spellEnd"/>
      <w:r w:rsidRPr="00DD502F">
        <w:t xml:space="preserve"> deterioration of bone tissue, leading to enhanced bone fragility and a consequent increase in fracture risk. </w:t>
      </w:r>
      <w:r>
        <w:t xml:space="preserve"> </w:t>
      </w:r>
      <w:r w:rsidR="00A16CE2" w:rsidRPr="00A16CE2">
        <w:rPr>
          <w:color w:val="FF0000"/>
        </w:rPr>
        <w:t>(Normal mineralization)</w:t>
      </w:r>
    </w:p>
    <w:p w14:paraId="78AE8427" w14:textId="77777777" w:rsidR="00DD502F" w:rsidRDefault="00DD502F">
      <w:r>
        <w:t xml:space="preserve">Or </w:t>
      </w:r>
    </w:p>
    <w:p w14:paraId="5A10D74F" w14:textId="77777777" w:rsidR="00DD502F" w:rsidRDefault="00DD502F">
      <w:r w:rsidRPr="00DD502F">
        <w:t>A skeletal disorder characterized by compromised bone strength predisposing a person to an increased risk of fracture</w:t>
      </w:r>
      <w:r w:rsidR="00A16CE2">
        <w:t>.</w:t>
      </w:r>
    </w:p>
    <w:p w14:paraId="5320D760" w14:textId="77777777" w:rsidR="00DD502F" w:rsidRPr="00DD502F" w:rsidRDefault="00DD502F" w:rsidP="00DD502F">
      <w:pPr>
        <w:numPr>
          <w:ilvl w:val="0"/>
          <w:numId w:val="1"/>
        </w:numPr>
      </w:pPr>
      <w:r w:rsidRPr="00DD502F">
        <w:rPr>
          <w:b/>
          <w:bCs/>
        </w:rPr>
        <w:t>Rickets</w:t>
      </w:r>
      <w:r w:rsidRPr="00DD502F">
        <w:t xml:space="preserve">: Deficient mineralization of bone and cartilage that occurs BEFORE closure of growth plates. </w:t>
      </w:r>
    </w:p>
    <w:p w14:paraId="2DF36A5F" w14:textId="77777777" w:rsidR="00DD502F" w:rsidRDefault="00DD502F" w:rsidP="00DD502F">
      <w:pPr>
        <w:numPr>
          <w:ilvl w:val="0"/>
          <w:numId w:val="1"/>
        </w:numPr>
      </w:pPr>
      <w:proofErr w:type="spellStart"/>
      <w:r w:rsidRPr="00DD502F">
        <w:rPr>
          <w:b/>
          <w:bCs/>
        </w:rPr>
        <w:t>Osteomalacia</w:t>
      </w:r>
      <w:proofErr w:type="spellEnd"/>
      <w:r w:rsidRPr="00DD502F">
        <w:rPr>
          <w:b/>
          <w:bCs/>
        </w:rPr>
        <w:t xml:space="preserve">: </w:t>
      </w:r>
      <w:r w:rsidRPr="00DD502F">
        <w:t xml:space="preserve">Deficient mineralization of bone that occurs AFTER closure of growth plates. </w:t>
      </w:r>
    </w:p>
    <w:tbl>
      <w:tblPr>
        <w:tblpPr w:leftFromText="180" w:rightFromText="180" w:vertAnchor="page" w:horzAnchor="page" w:tblpX="7573" w:tblpY="7201"/>
        <w:tblW w:w="3612" w:type="dxa"/>
        <w:tblCellMar>
          <w:left w:w="0" w:type="dxa"/>
          <w:right w:w="0" w:type="dxa"/>
        </w:tblCellMar>
        <w:tblLook w:val="0420" w:firstRow="1" w:lastRow="0" w:firstColumn="0" w:lastColumn="0" w:noHBand="0" w:noVBand="1"/>
      </w:tblPr>
      <w:tblGrid>
        <w:gridCol w:w="1395"/>
        <w:gridCol w:w="2217"/>
      </w:tblGrid>
      <w:tr w:rsidR="005C2175" w:rsidRPr="00A16CE2" w14:paraId="2E430C02" w14:textId="77777777" w:rsidTr="005C2175">
        <w:trPr>
          <w:trHeight w:val="81"/>
        </w:trPr>
        <w:tc>
          <w:tcPr>
            <w:tcW w:w="1395" w:type="dxa"/>
            <w:tcBorders>
              <w:top w:val="single" w:sz="8" w:space="0" w:color="5B9BD5"/>
              <w:left w:val="single" w:sz="8" w:space="0" w:color="5B9BD5"/>
              <w:bottom w:val="single" w:sz="8" w:space="0" w:color="5B9BD5"/>
              <w:right w:val="single" w:sz="8" w:space="0" w:color="5B9BD5"/>
            </w:tcBorders>
            <w:shd w:val="clear" w:color="auto" w:fill="EAEFF7"/>
            <w:tcMar>
              <w:top w:w="72" w:type="dxa"/>
              <w:left w:w="192" w:type="dxa"/>
              <w:bottom w:w="72" w:type="dxa"/>
              <w:right w:w="192" w:type="dxa"/>
            </w:tcMar>
            <w:hideMark/>
          </w:tcPr>
          <w:p w14:paraId="01613F2C" w14:textId="77777777" w:rsidR="005C2175" w:rsidRPr="00A16CE2" w:rsidRDefault="005C2175" w:rsidP="005C2175">
            <w:pPr>
              <w:rPr>
                <w:sz w:val="20"/>
              </w:rPr>
            </w:pPr>
            <w:r w:rsidRPr="00A16CE2">
              <w:rPr>
                <w:b/>
                <w:bCs/>
                <w:sz w:val="20"/>
              </w:rPr>
              <w:t xml:space="preserve">Condition </w:t>
            </w:r>
          </w:p>
        </w:tc>
        <w:tc>
          <w:tcPr>
            <w:tcW w:w="2217" w:type="dxa"/>
            <w:tcBorders>
              <w:top w:val="single" w:sz="8" w:space="0" w:color="5B9BD5"/>
              <w:left w:val="single" w:sz="8" w:space="0" w:color="5B9BD5"/>
              <w:bottom w:val="single" w:sz="8" w:space="0" w:color="5B9BD5"/>
              <w:right w:val="single" w:sz="8" w:space="0" w:color="5B9BD5"/>
            </w:tcBorders>
            <w:shd w:val="clear" w:color="auto" w:fill="EAEFF7"/>
            <w:tcMar>
              <w:top w:w="72" w:type="dxa"/>
              <w:left w:w="192" w:type="dxa"/>
              <w:bottom w:w="72" w:type="dxa"/>
              <w:right w:w="192" w:type="dxa"/>
            </w:tcMar>
            <w:hideMark/>
          </w:tcPr>
          <w:p w14:paraId="0AC12207" w14:textId="33A6CD67" w:rsidR="005C2175" w:rsidRPr="005C2175" w:rsidRDefault="005C2175" w:rsidP="005C2175">
            <w:pPr>
              <w:rPr>
                <w:sz w:val="22"/>
              </w:rPr>
            </w:pPr>
            <w:r w:rsidRPr="005C2175">
              <w:rPr>
                <w:b/>
                <w:bCs/>
                <w:sz w:val="22"/>
              </w:rPr>
              <w:t>Level</w:t>
            </w:r>
            <w:r w:rsidRPr="005C2175">
              <w:rPr>
                <w:sz w:val="22"/>
              </w:rPr>
              <w:t xml:space="preserve"> </w:t>
            </w:r>
          </w:p>
        </w:tc>
      </w:tr>
      <w:tr w:rsidR="005C2175" w:rsidRPr="00A16CE2" w14:paraId="4C97C653" w14:textId="77777777" w:rsidTr="005C2175">
        <w:trPr>
          <w:trHeight w:val="81"/>
        </w:trPr>
        <w:tc>
          <w:tcPr>
            <w:tcW w:w="1395" w:type="dxa"/>
            <w:tcBorders>
              <w:top w:val="single" w:sz="8" w:space="0" w:color="5B9BD5"/>
              <w:left w:val="single" w:sz="8" w:space="0" w:color="5B9BD5"/>
              <w:bottom w:val="single" w:sz="8" w:space="0" w:color="5B9BD5"/>
              <w:right w:val="single" w:sz="8" w:space="0" w:color="5B9BD5"/>
            </w:tcBorders>
            <w:shd w:val="clear" w:color="auto" w:fill="D2DEEF"/>
            <w:tcMar>
              <w:top w:w="72" w:type="dxa"/>
              <w:left w:w="192" w:type="dxa"/>
              <w:bottom w:w="72" w:type="dxa"/>
              <w:right w:w="192" w:type="dxa"/>
            </w:tcMar>
            <w:hideMark/>
          </w:tcPr>
          <w:p w14:paraId="5D30872C" w14:textId="77777777" w:rsidR="005C2175" w:rsidRPr="005C2175" w:rsidRDefault="005C2175" w:rsidP="005C2175">
            <w:pPr>
              <w:rPr>
                <w:sz w:val="20"/>
              </w:rPr>
            </w:pPr>
            <w:r w:rsidRPr="005C2175">
              <w:rPr>
                <w:rFonts w:ascii="Calibri" w:hAnsi="Calibri" w:cs="Arial"/>
                <w:bCs/>
                <w:color w:val="000000" w:themeColor="dark1"/>
                <w:kern w:val="24"/>
                <w:sz w:val="20"/>
                <w:szCs w:val="36"/>
              </w:rPr>
              <w:t>Normal</w:t>
            </w:r>
          </w:p>
        </w:tc>
        <w:tc>
          <w:tcPr>
            <w:tcW w:w="2217" w:type="dxa"/>
            <w:tcBorders>
              <w:top w:val="single" w:sz="8" w:space="0" w:color="5B9BD5"/>
              <w:left w:val="single" w:sz="8" w:space="0" w:color="5B9BD5"/>
              <w:bottom w:val="single" w:sz="8" w:space="0" w:color="5B9BD5"/>
              <w:right w:val="single" w:sz="8" w:space="0" w:color="5B9BD5"/>
            </w:tcBorders>
            <w:shd w:val="clear" w:color="auto" w:fill="D2DEEF"/>
            <w:tcMar>
              <w:top w:w="72" w:type="dxa"/>
              <w:left w:w="192" w:type="dxa"/>
              <w:bottom w:w="72" w:type="dxa"/>
              <w:right w:w="192" w:type="dxa"/>
            </w:tcMar>
            <w:hideMark/>
          </w:tcPr>
          <w:p w14:paraId="0E698DF7" w14:textId="0C88D96E" w:rsidR="005C2175" w:rsidRPr="005C2175" w:rsidRDefault="005C2175" w:rsidP="005C2175">
            <w:pPr>
              <w:pStyle w:val="NormalWeb"/>
              <w:spacing w:before="0" w:beforeAutospacing="0" w:after="0" w:afterAutospacing="0"/>
              <w:jc w:val="center"/>
              <w:rPr>
                <w:rFonts w:ascii="Arial" w:hAnsi="Arial" w:cs="Arial"/>
                <w:sz w:val="22"/>
                <w:szCs w:val="36"/>
              </w:rPr>
            </w:pPr>
            <w:r w:rsidRPr="005C2175">
              <w:rPr>
                <w:rFonts w:ascii="Calibri" w:hAnsi="Calibri" w:cs="Arial"/>
                <w:bCs/>
                <w:color w:val="C00000"/>
                <w:kern w:val="24"/>
                <w:sz w:val="22"/>
                <w:szCs w:val="36"/>
              </w:rPr>
              <w:t>30 – 100</w:t>
            </w:r>
            <w:r w:rsidRPr="005C2175">
              <w:rPr>
                <w:rFonts w:ascii="Arial" w:hAnsi="Arial" w:cs="Arial"/>
                <w:sz w:val="22"/>
                <w:szCs w:val="36"/>
              </w:rPr>
              <w:t xml:space="preserve"> </w:t>
            </w:r>
            <w:proofErr w:type="spellStart"/>
            <w:r w:rsidRPr="005C2175">
              <w:rPr>
                <w:rFonts w:ascii="Calibri" w:hAnsi="Calibri" w:cs="Arial"/>
                <w:bCs/>
                <w:color w:val="C00000"/>
                <w:kern w:val="24"/>
                <w:sz w:val="22"/>
                <w:szCs w:val="36"/>
              </w:rPr>
              <w:t>ng</w:t>
            </w:r>
            <w:proofErr w:type="spellEnd"/>
            <w:r w:rsidRPr="005C2175">
              <w:rPr>
                <w:rFonts w:ascii="Calibri" w:hAnsi="Calibri" w:cs="Arial"/>
                <w:bCs/>
                <w:color w:val="C00000"/>
                <w:kern w:val="24"/>
                <w:sz w:val="22"/>
                <w:szCs w:val="36"/>
              </w:rPr>
              <w:t>/mL</w:t>
            </w:r>
          </w:p>
          <w:p w14:paraId="0277E4F9" w14:textId="28294BB4" w:rsidR="005C2175" w:rsidRPr="005C2175" w:rsidRDefault="005C2175" w:rsidP="005C2175">
            <w:pPr>
              <w:jc w:val="center"/>
              <w:rPr>
                <w:sz w:val="22"/>
              </w:rPr>
            </w:pPr>
            <w:r w:rsidRPr="005C2175">
              <w:rPr>
                <w:rFonts w:ascii="Calibri" w:hAnsi="Calibri" w:cs="Arial"/>
                <w:bCs/>
                <w:color w:val="000000" w:themeColor="dark1"/>
                <w:kern w:val="24"/>
                <w:sz w:val="22"/>
                <w:szCs w:val="36"/>
              </w:rPr>
              <w:t xml:space="preserve">75 - &lt;250 </w:t>
            </w:r>
            <w:proofErr w:type="spellStart"/>
            <w:r w:rsidRPr="005C2175">
              <w:rPr>
                <w:rFonts w:ascii="Calibri" w:hAnsi="Calibri" w:cs="Arial"/>
                <w:bCs/>
                <w:color w:val="000000" w:themeColor="dark1"/>
                <w:kern w:val="24"/>
                <w:sz w:val="22"/>
                <w:szCs w:val="36"/>
              </w:rPr>
              <w:t>nmol</w:t>
            </w:r>
            <w:proofErr w:type="spellEnd"/>
            <w:r w:rsidRPr="005C2175">
              <w:rPr>
                <w:rFonts w:ascii="Calibri" w:hAnsi="Calibri" w:cs="Arial"/>
                <w:bCs/>
                <w:color w:val="000000" w:themeColor="dark1"/>
                <w:kern w:val="24"/>
                <w:sz w:val="22"/>
                <w:szCs w:val="36"/>
              </w:rPr>
              <w:t>/L</w:t>
            </w:r>
          </w:p>
        </w:tc>
      </w:tr>
      <w:tr w:rsidR="005C2175" w:rsidRPr="00A16CE2" w14:paraId="236680C6" w14:textId="77777777" w:rsidTr="005C2175">
        <w:trPr>
          <w:trHeight w:val="81"/>
        </w:trPr>
        <w:tc>
          <w:tcPr>
            <w:tcW w:w="1395" w:type="dxa"/>
            <w:tcBorders>
              <w:top w:val="single" w:sz="8" w:space="0" w:color="5B9BD5"/>
              <w:left w:val="single" w:sz="8" w:space="0" w:color="5B9BD5"/>
              <w:bottom w:val="single" w:sz="8" w:space="0" w:color="5B9BD5"/>
              <w:right w:val="single" w:sz="8" w:space="0" w:color="5B9BD5"/>
            </w:tcBorders>
            <w:shd w:val="clear" w:color="auto" w:fill="EAEFF7"/>
            <w:tcMar>
              <w:top w:w="72" w:type="dxa"/>
              <w:left w:w="192" w:type="dxa"/>
              <w:bottom w:w="72" w:type="dxa"/>
              <w:right w:w="192" w:type="dxa"/>
            </w:tcMar>
            <w:hideMark/>
          </w:tcPr>
          <w:p w14:paraId="75A03BE3" w14:textId="77777777" w:rsidR="005C2175" w:rsidRPr="005C2175" w:rsidRDefault="005C2175" w:rsidP="005C2175">
            <w:pPr>
              <w:rPr>
                <w:sz w:val="20"/>
              </w:rPr>
            </w:pPr>
            <w:r w:rsidRPr="005C2175">
              <w:rPr>
                <w:rFonts w:ascii="Calibri" w:hAnsi="Calibri" w:cs="Arial"/>
                <w:color w:val="000000" w:themeColor="dark1"/>
                <w:kern w:val="24"/>
                <w:sz w:val="20"/>
                <w:szCs w:val="36"/>
              </w:rPr>
              <w:t xml:space="preserve">Insufficient </w:t>
            </w:r>
          </w:p>
        </w:tc>
        <w:tc>
          <w:tcPr>
            <w:tcW w:w="2217" w:type="dxa"/>
            <w:tcBorders>
              <w:top w:val="single" w:sz="8" w:space="0" w:color="5B9BD5"/>
              <w:left w:val="single" w:sz="8" w:space="0" w:color="5B9BD5"/>
              <w:bottom w:val="single" w:sz="8" w:space="0" w:color="5B9BD5"/>
              <w:right w:val="single" w:sz="8" w:space="0" w:color="5B9BD5"/>
            </w:tcBorders>
            <w:shd w:val="clear" w:color="auto" w:fill="EAEFF7"/>
            <w:tcMar>
              <w:top w:w="72" w:type="dxa"/>
              <w:left w:w="192" w:type="dxa"/>
              <w:bottom w:w="72" w:type="dxa"/>
              <w:right w:w="192" w:type="dxa"/>
            </w:tcMar>
            <w:hideMark/>
          </w:tcPr>
          <w:p w14:paraId="203903FE" w14:textId="50F09996" w:rsidR="005C2175" w:rsidRPr="005C2175" w:rsidRDefault="005C2175" w:rsidP="005C2175">
            <w:pPr>
              <w:pStyle w:val="NormalWeb"/>
              <w:spacing w:before="0" w:beforeAutospacing="0" w:after="0" w:afterAutospacing="0"/>
              <w:jc w:val="center"/>
              <w:rPr>
                <w:rFonts w:ascii="Arial" w:hAnsi="Arial" w:cs="Arial"/>
                <w:sz w:val="22"/>
                <w:szCs w:val="36"/>
              </w:rPr>
            </w:pPr>
            <w:r w:rsidRPr="005C2175">
              <w:rPr>
                <w:rFonts w:ascii="Calibri" w:hAnsi="Calibri" w:cs="Arial"/>
                <w:color w:val="C00000"/>
                <w:kern w:val="24"/>
                <w:sz w:val="22"/>
                <w:szCs w:val="36"/>
              </w:rPr>
              <w:t>&gt;20 - &lt;30</w:t>
            </w:r>
            <w:r w:rsidRPr="005C2175">
              <w:rPr>
                <w:rFonts w:ascii="Arial" w:hAnsi="Arial" w:cs="Arial"/>
                <w:sz w:val="22"/>
                <w:szCs w:val="36"/>
              </w:rPr>
              <w:t xml:space="preserve"> </w:t>
            </w:r>
            <w:proofErr w:type="spellStart"/>
            <w:r w:rsidRPr="005C2175">
              <w:rPr>
                <w:rFonts w:ascii="Calibri" w:hAnsi="Calibri" w:cs="Arial"/>
                <w:color w:val="C00000"/>
                <w:kern w:val="24"/>
                <w:sz w:val="22"/>
                <w:szCs w:val="36"/>
              </w:rPr>
              <w:t>ng</w:t>
            </w:r>
            <w:proofErr w:type="spellEnd"/>
            <w:r w:rsidRPr="005C2175">
              <w:rPr>
                <w:rFonts w:ascii="Calibri" w:hAnsi="Calibri" w:cs="Arial"/>
                <w:color w:val="C00000"/>
                <w:kern w:val="24"/>
                <w:sz w:val="22"/>
                <w:szCs w:val="36"/>
              </w:rPr>
              <w:t>/mL</w:t>
            </w:r>
          </w:p>
          <w:p w14:paraId="28DF8E65" w14:textId="4CD0F7AB" w:rsidR="005C2175" w:rsidRPr="005C2175" w:rsidRDefault="005C2175" w:rsidP="005C2175">
            <w:pPr>
              <w:pStyle w:val="NormalWeb"/>
              <w:spacing w:before="0" w:beforeAutospacing="0" w:after="0" w:afterAutospacing="0"/>
              <w:jc w:val="center"/>
              <w:rPr>
                <w:rFonts w:ascii="Arial" w:hAnsi="Arial" w:cs="Arial"/>
                <w:sz w:val="22"/>
                <w:szCs w:val="36"/>
              </w:rPr>
            </w:pPr>
            <w:r w:rsidRPr="005C2175">
              <w:rPr>
                <w:rFonts w:ascii="Calibri" w:hAnsi="Calibri" w:cs="Arial"/>
                <w:color w:val="000000" w:themeColor="dark1"/>
                <w:kern w:val="24"/>
                <w:sz w:val="22"/>
                <w:szCs w:val="36"/>
              </w:rPr>
              <w:t>&gt;50 – &lt;</w:t>
            </w:r>
            <w:proofErr w:type="gramStart"/>
            <w:r w:rsidRPr="005C2175">
              <w:rPr>
                <w:rFonts w:ascii="Calibri" w:hAnsi="Calibri" w:cs="Arial"/>
                <w:color w:val="000000" w:themeColor="dark1"/>
                <w:kern w:val="24"/>
                <w:sz w:val="22"/>
                <w:szCs w:val="36"/>
              </w:rPr>
              <w:t xml:space="preserve">75  </w:t>
            </w:r>
            <w:proofErr w:type="spellStart"/>
            <w:r w:rsidRPr="005C2175">
              <w:rPr>
                <w:rFonts w:ascii="Calibri" w:hAnsi="Calibri" w:cs="Arial"/>
                <w:color w:val="000000" w:themeColor="dark1"/>
                <w:kern w:val="24"/>
                <w:sz w:val="22"/>
                <w:szCs w:val="36"/>
              </w:rPr>
              <w:t>nmol</w:t>
            </w:r>
            <w:proofErr w:type="spellEnd"/>
            <w:proofErr w:type="gramEnd"/>
            <w:r w:rsidRPr="005C2175">
              <w:rPr>
                <w:rFonts w:ascii="Calibri" w:hAnsi="Calibri" w:cs="Arial"/>
                <w:color w:val="000000" w:themeColor="dark1"/>
                <w:kern w:val="24"/>
                <w:sz w:val="22"/>
                <w:szCs w:val="36"/>
              </w:rPr>
              <w:t>/L</w:t>
            </w:r>
          </w:p>
        </w:tc>
      </w:tr>
      <w:tr w:rsidR="005C2175" w:rsidRPr="00A16CE2" w14:paraId="10B18C16" w14:textId="77777777" w:rsidTr="005C2175">
        <w:trPr>
          <w:trHeight w:val="250"/>
        </w:trPr>
        <w:tc>
          <w:tcPr>
            <w:tcW w:w="1395" w:type="dxa"/>
            <w:tcBorders>
              <w:top w:val="single" w:sz="8" w:space="0" w:color="5B9BD5"/>
              <w:left w:val="single" w:sz="8" w:space="0" w:color="5B9BD5"/>
              <w:bottom w:val="single" w:sz="8" w:space="0" w:color="5B9BD5"/>
              <w:right w:val="single" w:sz="8" w:space="0" w:color="5B9BD5"/>
            </w:tcBorders>
            <w:shd w:val="clear" w:color="auto" w:fill="D2DEEF"/>
            <w:tcMar>
              <w:top w:w="72" w:type="dxa"/>
              <w:left w:w="192" w:type="dxa"/>
              <w:bottom w:w="72" w:type="dxa"/>
              <w:right w:w="192" w:type="dxa"/>
            </w:tcMar>
            <w:hideMark/>
          </w:tcPr>
          <w:p w14:paraId="2E66FBBB" w14:textId="77777777" w:rsidR="005C2175" w:rsidRPr="005C2175" w:rsidRDefault="005C2175" w:rsidP="005C2175">
            <w:pPr>
              <w:rPr>
                <w:sz w:val="20"/>
              </w:rPr>
            </w:pPr>
            <w:r w:rsidRPr="005C2175">
              <w:rPr>
                <w:rFonts w:ascii="Calibri" w:hAnsi="Calibri" w:cs="Arial"/>
                <w:color w:val="000000" w:themeColor="dark1"/>
                <w:kern w:val="24"/>
                <w:sz w:val="20"/>
                <w:szCs w:val="36"/>
              </w:rPr>
              <w:t>Deficiency</w:t>
            </w:r>
          </w:p>
        </w:tc>
        <w:tc>
          <w:tcPr>
            <w:tcW w:w="2217" w:type="dxa"/>
            <w:tcBorders>
              <w:top w:val="single" w:sz="8" w:space="0" w:color="5B9BD5"/>
              <w:left w:val="single" w:sz="8" w:space="0" w:color="5B9BD5"/>
              <w:bottom w:val="single" w:sz="8" w:space="0" w:color="5B9BD5"/>
              <w:right w:val="single" w:sz="8" w:space="0" w:color="5B9BD5"/>
            </w:tcBorders>
            <w:shd w:val="clear" w:color="auto" w:fill="D2DEEF"/>
            <w:tcMar>
              <w:top w:w="72" w:type="dxa"/>
              <w:left w:w="192" w:type="dxa"/>
              <w:bottom w:w="72" w:type="dxa"/>
              <w:right w:w="192" w:type="dxa"/>
            </w:tcMar>
            <w:hideMark/>
          </w:tcPr>
          <w:p w14:paraId="3FD3F991" w14:textId="77777777" w:rsidR="005C2175" w:rsidRPr="005C2175" w:rsidRDefault="005C2175" w:rsidP="005C2175">
            <w:pPr>
              <w:pStyle w:val="NormalWeb"/>
              <w:spacing w:before="0" w:beforeAutospacing="0" w:after="0" w:afterAutospacing="0"/>
              <w:jc w:val="center"/>
              <w:rPr>
                <w:rFonts w:ascii="Arial" w:hAnsi="Arial" w:cs="Arial"/>
                <w:sz w:val="22"/>
                <w:szCs w:val="36"/>
              </w:rPr>
            </w:pPr>
            <w:r w:rsidRPr="005C2175">
              <w:rPr>
                <w:rFonts w:ascii="Calibri" w:hAnsi="Calibri" w:cs="Arial"/>
                <w:color w:val="C00000"/>
                <w:kern w:val="24"/>
                <w:sz w:val="22"/>
                <w:szCs w:val="36"/>
              </w:rPr>
              <w:t xml:space="preserve">&gt;10 - &lt;20 </w:t>
            </w:r>
            <w:proofErr w:type="spellStart"/>
            <w:r w:rsidRPr="005C2175">
              <w:rPr>
                <w:rFonts w:ascii="Calibri" w:hAnsi="Calibri" w:cs="Arial"/>
                <w:color w:val="C00000"/>
                <w:kern w:val="24"/>
                <w:sz w:val="22"/>
                <w:szCs w:val="36"/>
              </w:rPr>
              <w:t>ng</w:t>
            </w:r>
            <w:proofErr w:type="spellEnd"/>
            <w:r w:rsidRPr="005C2175">
              <w:rPr>
                <w:rFonts w:ascii="Calibri" w:hAnsi="Calibri" w:cs="Arial"/>
                <w:color w:val="C00000"/>
                <w:kern w:val="24"/>
                <w:sz w:val="22"/>
                <w:szCs w:val="36"/>
              </w:rPr>
              <w:t>/mL</w:t>
            </w:r>
          </w:p>
          <w:p w14:paraId="7E1F4546" w14:textId="07BA277A" w:rsidR="005C2175" w:rsidRPr="005C2175" w:rsidRDefault="005C2175" w:rsidP="005C2175">
            <w:pPr>
              <w:pStyle w:val="NormalWeb"/>
              <w:spacing w:before="0" w:beforeAutospacing="0" w:after="0" w:afterAutospacing="0"/>
              <w:jc w:val="center"/>
              <w:rPr>
                <w:rFonts w:ascii="Arial" w:hAnsi="Arial" w:cs="Arial"/>
                <w:sz w:val="22"/>
                <w:szCs w:val="36"/>
              </w:rPr>
            </w:pPr>
            <w:r w:rsidRPr="005C2175">
              <w:rPr>
                <w:rFonts w:ascii="Calibri" w:hAnsi="Calibri" w:cs="Arial"/>
                <w:color w:val="000000" w:themeColor="dark1"/>
                <w:kern w:val="24"/>
                <w:sz w:val="22"/>
                <w:szCs w:val="36"/>
              </w:rPr>
              <w:t xml:space="preserve">&gt;25 – &lt;50 </w:t>
            </w:r>
            <w:proofErr w:type="spellStart"/>
            <w:r w:rsidRPr="005C2175">
              <w:rPr>
                <w:rFonts w:ascii="Calibri" w:hAnsi="Calibri" w:cs="Arial"/>
                <w:color w:val="000000" w:themeColor="dark1"/>
                <w:kern w:val="24"/>
                <w:sz w:val="22"/>
                <w:szCs w:val="36"/>
              </w:rPr>
              <w:t>nmol</w:t>
            </w:r>
            <w:proofErr w:type="spellEnd"/>
            <w:r w:rsidRPr="005C2175">
              <w:rPr>
                <w:rFonts w:ascii="Calibri" w:hAnsi="Calibri" w:cs="Arial"/>
                <w:color w:val="000000" w:themeColor="dark1"/>
                <w:kern w:val="24"/>
                <w:sz w:val="22"/>
                <w:szCs w:val="36"/>
              </w:rPr>
              <w:t>/L</w:t>
            </w:r>
          </w:p>
        </w:tc>
      </w:tr>
      <w:tr w:rsidR="005C2175" w:rsidRPr="00A16CE2" w14:paraId="28DCA4B0" w14:textId="77777777" w:rsidTr="005C2175">
        <w:trPr>
          <w:trHeight w:val="81"/>
        </w:trPr>
        <w:tc>
          <w:tcPr>
            <w:tcW w:w="1395" w:type="dxa"/>
            <w:tcBorders>
              <w:top w:val="single" w:sz="8" w:space="0" w:color="5B9BD5"/>
              <w:left w:val="single" w:sz="8" w:space="0" w:color="5B9BD5"/>
              <w:bottom w:val="single" w:sz="8" w:space="0" w:color="5B9BD5"/>
              <w:right w:val="single" w:sz="8" w:space="0" w:color="5B9BD5"/>
            </w:tcBorders>
            <w:shd w:val="clear" w:color="auto" w:fill="EAEFF7"/>
            <w:tcMar>
              <w:top w:w="72" w:type="dxa"/>
              <w:left w:w="192" w:type="dxa"/>
              <w:bottom w:w="72" w:type="dxa"/>
              <w:right w:w="192" w:type="dxa"/>
            </w:tcMar>
            <w:hideMark/>
          </w:tcPr>
          <w:p w14:paraId="0657F300" w14:textId="77777777" w:rsidR="005C2175" w:rsidRPr="005C2175" w:rsidRDefault="005C2175" w:rsidP="005C2175">
            <w:pPr>
              <w:rPr>
                <w:sz w:val="20"/>
              </w:rPr>
            </w:pPr>
            <w:r w:rsidRPr="005C2175">
              <w:rPr>
                <w:rFonts w:ascii="Calibri" w:hAnsi="Calibri" w:cs="Arial"/>
                <w:color w:val="000000" w:themeColor="dark1"/>
                <w:kern w:val="24"/>
                <w:sz w:val="20"/>
                <w:szCs w:val="36"/>
              </w:rPr>
              <w:t>Severe deficiency</w:t>
            </w:r>
          </w:p>
        </w:tc>
        <w:tc>
          <w:tcPr>
            <w:tcW w:w="2217" w:type="dxa"/>
            <w:tcBorders>
              <w:top w:val="single" w:sz="8" w:space="0" w:color="5B9BD5"/>
              <w:left w:val="single" w:sz="8" w:space="0" w:color="5B9BD5"/>
              <w:bottom w:val="single" w:sz="8" w:space="0" w:color="5B9BD5"/>
              <w:right w:val="single" w:sz="8" w:space="0" w:color="5B9BD5"/>
            </w:tcBorders>
            <w:shd w:val="clear" w:color="auto" w:fill="EAEFF7"/>
            <w:tcMar>
              <w:top w:w="72" w:type="dxa"/>
              <w:left w:w="192" w:type="dxa"/>
              <w:bottom w:w="72" w:type="dxa"/>
              <w:right w:w="192" w:type="dxa"/>
            </w:tcMar>
            <w:hideMark/>
          </w:tcPr>
          <w:p w14:paraId="7711F3A7" w14:textId="77777777" w:rsidR="005C2175" w:rsidRPr="005C2175" w:rsidRDefault="005C2175" w:rsidP="005C2175">
            <w:pPr>
              <w:pStyle w:val="NormalWeb"/>
              <w:spacing w:before="0" w:beforeAutospacing="0" w:after="0" w:afterAutospacing="0"/>
              <w:jc w:val="center"/>
              <w:rPr>
                <w:rFonts w:ascii="Arial" w:hAnsi="Arial" w:cs="Arial"/>
                <w:sz w:val="22"/>
                <w:szCs w:val="36"/>
              </w:rPr>
            </w:pPr>
            <w:r w:rsidRPr="005C2175">
              <w:rPr>
                <w:rFonts w:ascii="Calibri" w:hAnsi="Calibri" w:cs="Arial"/>
                <w:color w:val="C00000"/>
                <w:kern w:val="24"/>
                <w:sz w:val="22"/>
                <w:szCs w:val="36"/>
              </w:rPr>
              <w:t xml:space="preserve">&lt;10 </w:t>
            </w:r>
            <w:proofErr w:type="spellStart"/>
            <w:r w:rsidRPr="005C2175">
              <w:rPr>
                <w:rFonts w:ascii="Calibri" w:hAnsi="Calibri" w:cs="Arial"/>
                <w:color w:val="C00000"/>
                <w:kern w:val="24"/>
                <w:sz w:val="22"/>
                <w:szCs w:val="36"/>
              </w:rPr>
              <w:t>ng</w:t>
            </w:r>
            <w:proofErr w:type="spellEnd"/>
            <w:r w:rsidRPr="005C2175">
              <w:rPr>
                <w:rFonts w:ascii="Calibri" w:hAnsi="Calibri" w:cs="Arial"/>
                <w:color w:val="C00000"/>
                <w:kern w:val="24"/>
                <w:sz w:val="22"/>
                <w:szCs w:val="36"/>
              </w:rPr>
              <w:t>/mL</w:t>
            </w:r>
          </w:p>
          <w:p w14:paraId="06BD57C4" w14:textId="77777777" w:rsidR="005C2175" w:rsidRPr="005C2175" w:rsidRDefault="005C2175" w:rsidP="005C2175">
            <w:pPr>
              <w:jc w:val="center"/>
              <w:rPr>
                <w:sz w:val="22"/>
              </w:rPr>
            </w:pPr>
            <w:r w:rsidRPr="005C2175">
              <w:rPr>
                <w:rFonts w:ascii="Calibri" w:hAnsi="Calibri" w:cs="Arial"/>
                <w:color w:val="000000" w:themeColor="dark1"/>
                <w:kern w:val="24"/>
                <w:sz w:val="22"/>
                <w:szCs w:val="36"/>
              </w:rPr>
              <w:t xml:space="preserve">&lt;25 </w:t>
            </w:r>
            <w:proofErr w:type="spellStart"/>
            <w:r w:rsidRPr="005C2175">
              <w:rPr>
                <w:rFonts w:ascii="Calibri" w:hAnsi="Calibri" w:cs="Arial"/>
                <w:color w:val="000000" w:themeColor="dark1"/>
                <w:kern w:val="24"/>
                <w:sz w:val="22"/>
                <w:szCs w:val="36"/>
              </w:rPr>
              <w:t>nmol</w:t>
            </w:r>
            <w:proofErr w:type="spellEnd"/>
            <w:r w:rsidRPr="005C2175">
              <w:rPr>
                <w:rFonts w:ascii="Calibri" w:hAnsi="Calibri" w:cs="Arial"/>
                <w:color w:val="000000" w:themeColor="dark1"/>
                <w:kern w:val="24"/>
                <w:sz w:val="22"/>
                <w:szCs w:val="36"/>
              </w:rPr>
              <w:t>/L</w:t>
            </w:r>
          </w:p>
        </w:tc>
      </w:tr>
    </w:tbl>
    <w:p w14:paraId="6E4498F3" w14:textId="77777777" w:rsidR="00A16CE2" w:rsidRDefault="00A16CE2" w:rsidP="00A16CE2">
      <w:pPr>
        <w:ind w:left="720"/>
      </w:pPr>
    </w:p>
    <w:p w14:paraId="5DE2DEA2" w14:textId="77777777" w:rsidR="00A16CE2" w:rsidRPr="00A86D8A" w:rsidRDefault="00A16CE2" w:rsidP="00A16CE2">
      <w:pPr>
        <w:pStyle w:val="ListParagraph"/>
        <w:numPr>
          <w:ilvl w:val="0"/>
          <w:numId w:val="15"/>
        </w:numPr>
        <w:rPr>
          <w:b/>
          <w:bCs/>
          <w:color w:val="000090"/>
          <w:u w:val="single"/>
        </w:rPr>
      </w:pPr>
      <w:r w:rsidRPr="00A86D8A">
        <w:rPr>
          <w:b/>
          <w:bCs/>
          <w:color w:val="000090"/>
          <w:u w:val="single"/>
        </w:rPr>
        <w:t>Highlight on Vitamin D deficiency:</w:t>
      </w:r>
    </w:p>
    <w:p w14:paraId="6383D7D9" w14:textId="77777777" w:rsidR="00A16CE2" w:rsidRPr="00A16CE2" w:rsidRDefault="00A16CE2" w:rsidP="00A16CE2">
      <w:pPr>
        <w:pStyle w:val="ListParagraph"/>
        <w:numPr>
          <w:ilvl w:val="0"/>
          <w:numId w:val="16"/>
        </w:numPr>
      </w:pPr>
      <w:r w:rsidRPr="00A16CE2">
        <w:t>Difficulty thinking clearly</w:t>
      </w:r>
    </w:p>
    <w:p w14:paraId="53FC885B" w14:textId="77777777" w:rsidR="00A16CE2" w:rsidRPr="00A16CE2" w:rsidRDefault="00A16CE2" w:rsidP="00A16CE2">
      <w:pPr>
        <w:pStyle w:val="ListParagraph"/>
        <w:numPr>
          <w:ilvl w:val="0"/>
          <w:numId w:val="16"/>
        </w:numPr>
      </w:pPr>
      <w:r w:rsidRPr="00A16CE2">
        <w:t>Bone pain</w:t>
      </w:r>
      <w:bookmarkStart w:id="0" w:name="_GoBack"/>
      <w:bookmarkEnd w:id="0"/>
    </w:p>
    <w:p w14:paraId="1A07F3D0" w14:textId="77777777" w:rsidR="00A16CE2" w:rsidRPr="00A16CE2" w:rsidRDefault="00A16CE2" w:rsidP="00A16CE2">
      <w:pPr>
        <w:pStyle w:val="ListParagraph"/>
        <w:numPr>
          <w:ilvl w:val="0"/>
          <w:numId w:val="16"/>
        </w:numPr>
      </w:pPr>
      <w:r w:rsidRPr="00A16CE2">
        <w:t>Frequent bone fractures</w:t>
      </w:r>
    </w:p>
    <w:p w14:paraId="3E21237E" w14:textId="77777777" w:rsidR="00A16CE2" w:rsidRPr="00A16CE2" w:rsidRDefault="00A16CE2" w:rsidP="00A16CE2">
      <w:pPr>
        <w:pStyle w:val="ListParagraph"/>
        <w:numPr>
          <w:ilvl w:val="0"/>
          <w:numId w:val="16"/>
        </w:numPr>
      </w:pPr>
      <w:r w:rsidRPr="00A16CE2">
        <w:t>Muscle weakness</w:t>
      </w:r>
    </w:p>
    <w:p w14:paraId="185B63B4" w14:textId="77777777" w:rsidR="00A16CE2" w:rsidRPr="00A16CE2" w:rsidRDefault="00A16CE2" w:rsidP="00A16CE2">
      <w:pPr>
        <w:pStyle w:val="ListParagraph"/>
        <w:numPr>
          <w:ilvl w:val="0"/>
          <w:numId w:val="16"/>
        </w:numPr>
      </w:pPr>
      <w:r w:rsidRPr="00A16CE2">
        <w:t>Soft bones that may result in deformities</w:t>
      </w:r>
    </w:p>
    <w:p w14:paraId="050CBC72" w14:textId="77777777" w:rsidR="00A16CE2" w:rsidRPr="00A16CE2" w:rsidRDefault="00A16CE2" w:rsidP="00A16CE2">
      <w:pPr>
        <w:pStyle w:val="ListParagraph"/>
        <w:numPr>
          <w:ilvl w:val="0"/>
          <w:numId w:val="16"/>
        </w:numPr>
      </w:pPr>
      <w:r w:rsidRPr="00A16CE2">
        <w:t>Unexplained fatigue</w:t>
      </w:r>
    </w:p>
    <w:p w14:paraId="54A622E7" w14:textId="77777777" w:rsidR="00A16CE2" w:rsidRPr="00A16CE2" w:rsidRDefault="00A16CE2" w:rsidP="00A16CE2">
      <w:pPr>
        <w:pStyle w:val="ListParagraph"/>
        <w:numPr>
          <w:ilvl w:val="0"/>
          <w:numId w:val="16"/>
        </w:numPr>
      </w:pPr>
      <w:r w:rsidRPr="00A16CE2">
        <w:t xml:space="preserve">Psoriasis </w:t>
      </w:r>
    </w:p>
    <w:p w14:paraId="0495C852" w14:textId="77777777" w:rsidR="00A16CE2" w:rsidRPr="00A16CE2" w:rsidRDefault="00A16CE2" w:rsidP="00A16CE2">
      <w:pPr>
        <w:pStyle w:val="ListParagraph"/>
        <w:rPr>
          <w:b/>
          <w:bCs/>
        </w:rPr>
      </w:pPr>
    </w:p>
    <w:p w14:paraId="0132A173" w14:textId="77777777" w:rsidR="00A16CE2" w:rsidRPr="00A86D8A" w:rsidRDefault="00A16CE2" w:rsidP="00A16CE2">
      <w:pPr>
        <w:pStyle w:val="ListParagraph"/>
        <w:numPr>
          <w:ilvl w:val="0"/>
          <w:numId w:val="15"/>
        </w:numPr>
        <w:rPr>
          <w:b/>
          <w:bCs/>
          <w:color w:val="000090"/>
          <w:u w:val="single"/>
        </w:rPr>
      </w:pPr>
      <w:r w:rsidRPr="00A86D8A">
        <w:rPr>
          <w:b/>
          <w:bCs/>
          <w:color w:val="000090"/>
          <w:u w:val="single"/>
        </w:rPr>
        <w:t>Prevalence in world / Saudi Arabia:</w:t>
      </w:r>
    </w:p>
    <w:p w14:paraId="0E6859F9" w14:textId="77777777" w:rsidR="00A16CE2" w:rsidRPr="00A16CE2" w:rsidRDefault="00A16CE2" w:rsidP="00A16CE2">
      <w:proofErr w:type="spellStart"/>
      <w:r w:rsidRPr="00A16CE2">
        <w:t>Basmah</w:t>
      </w:r>
      <w:proofErr w:type="spellEnd"/>
      <w:r w:rsidRPr="00A16CE2">
        <w:t xml:space="preserve"> K et al. reported that approximately 34% of healthy Saudi women, and 30.7% of men, 50-79 years of age are osteoporotic</w:t>
      </w:r>
      <w:r>
        <w:t xml:space="preserve">. </w:t>
      </w:r>
    </w:p>
    <w:p w14:paraId="54506AD7" w14:textId="77777777" w:rsidR="00A16CE2" w:rsidRDefault="00A16CE2" w:rsidP="00A16CE2"/>
    <w:p w14:paraId="2C1FA717" w14:textId="77777777" w:rsidR="00A16CE2" w:rsidRPr="00A86D8A" w:rsidRDefault="00A16CE2" w:rsidP="00A16CE2">
      <w:pPr>
        <w:pStyle w:val="ListParagraph"/>
        <w:numPr>
          <w:ilvl w:val="0"/>
          <w:numId w:val="15"/>
        </w:numPr>
        <w:rPr>
          <w:b/>
          <w:bCs/>
          <w:color w:val="000090"/>
          <w:u w:val="single"/>
        </w:rPr>
      </w:pPr>
      <w:r w:rsidRPr="00A86D8A">
        <w:rPr>
          <w:b/>
          <w:bCs/>
          <w:color w:val="000090"/>
          <w:u w:val="single"/>
        </w:rPr>
        <w:t>Factors lead to Osteoporosis and Vitamin D deficiency</w:t>
      </w:r>
    </w:p>
    <w:p w14:paraId="5559EB94" w14:textId="77777777" w:rsidR="00A16CE2" w:rsidRDefault="00A16CE2" w:rsidP="00A16CE2">
      <w:r w:rsidRPr="00A16CE2">
        <w:rPr>
          <w:b/>
        </w:rPr>
        <w:t>Non-modifiable:</w:t>
      </w:r>
      <w:r w:rsidRPr="00A16CE2">
        <w:t xml:space="preserve"> Ag</w:t>
      </w:r>
      <w:r>
        <w:t xml:space="preserve">e </w:t>
      </w:r>
      <w:r w:rsidRPr="00A16CE2">
        <w:t>(Most important risk factor), Female gender, Menopause, Family history, Small frame m History of broken bones</w:t>
      </w:r>
      <w:r>
        <w:t>.</w:t>
      </w:r>
    </w:p>
    <w:p w14:paraId="75AF7EE1" w14:textId="77777777" w:rsidR="00AC48EC" w:rsidRPr="00AC48EC" w:rsidRDefault="00A16CE2" w:rsidP="00AC48EC">
      <w:r w:rsidRPr="00AC48EC">
        <w:rPr>
          <w:b/>
        </w:rPr>
        <w:t>Modifiable:</w:t>
      </w:r>
      <w:r>
        <w:t xml:space="preserve"> </w:t>
      </w:r>
      <w:r w:rsidR="00AC48EC">
        <w:t xml:space="preserve">Low </w:t>
      </w:r>
      <w:proofErr w:type="spellStart"/>
      <w:r w:rsidR="00AC48EC">
        <w:t>Ca</w:t>
      </w:r>
      <w:proofErr w:type="spellEnd"/>
      <w:r w:rsidR="00AC48EC">
        <w:t xml:space="preserve">/Vitamin D, </w:t>
      </w:r>
      <w:r w:rsidR="00AC48EC" w:rsidRPr="00AC48EC">
        <w:t>Sedentary lifestyle</w:t>
      </w:r>
      <w:r w:rsidR="00AC48EC">
        <w:t>,</w:t>
      </w:r>
      <w:r w:rsidR="00AC48EC" w:rsidRPr="00AC48EC">
        <w:t xml:space="preserve"> Smoking</w:t>
      </w:r>
      <w:r w:rsidR="00AC48EC">
        <w:t xml:space="preserve">, </w:t>
      </w:r>
      <w:r w:rsidR="00AC48EC" w:rsidRPr="00AC48EC">
        <w:t>Alcohol use</w:t>
      </w:r>
      <w:r w:rsidR="00AC48EC">
        <w:t xml:space="preserve">, </w:t>
      </w:r>
      <w:r w:rsidR="00AC48EC" w:rsidRPr="00AC48EC">
        <w:t>low body weight</w:t>
      </w:r>
      <w:r w:rsidR="00AC48EC">
        <w:t xml:space="preserve">. </w:t>
      </w:r>
    </w:p>
    <w:p w14:paraId="68A37014" w14:textId="77777777" w:rsidR="00A16CE2" w:rsidRDefault="00AC48EC" w:rsidP="00AC48EC">
      <w:r w:rsidRPr="00AC48EC">
        <w:rPr>
          <w:b/>
        </w:rPr>
        <w:t>Medical diseases:</w:t>
      </w:r>
      <w:r>
        <w:t xml:space="preserve"> Premature menopause, </w:t>
      </w:r>
      <w:proofErr w:type="spellStart"/>
      <w:r>
        <w:t>Malabsorption</w:t>
      </w:r>
      <w:proofErr w:type="spellEnd"/>
      <w:r>
        <w:t xml:space="preserve">, Chronic liver disease, </w:t>
      </w:r>
      <w:r w:rsidRPr="00AC48EC">
        <w:t>IBD</w:t>
      </w:r>
      <w:r>
        <w:t>.</w:t>
      </w:r>
    </w:p>
    <w:p w14:paraId="610F904C" w14:textId="77777777" w:rsidR="00A16CE2" w:rsidRDefault="00AC48EC" w:rsidP="00AC48EC">
      <w:r w:rsidRPr="00AC48EC">
        <w:rPr>
          <w:b/>
        </w:rPr>
        <w:t>Medication:</w:t>
      </w:r>
      <w:r>
        <w:rPr>
          <w:rFonts w:ascii="Cabin" w:eastAsia="Cabin" w:hAnsi="Cabin" w:cs="Cabin"/>
          <w:color w:val="000000" w:themeColor="dark1"/>
          <w:kern w:val="24"/>
          <w:sz w:val="48"/>
          <w:szCs w:val="48"/>
        </w:rPr>
        <w:t xml:space="preserve"> </w:t>
      </w:r>
      <w:r>
        <w:t xml:space="preserve">Steroids, </w:t>
      </w:r>
      <w:r w:rsidRPr="00AC48EC">
        <w:t>L-</w:t>
      </w:r>
      <w:proofErr w:type="spellStart"/>
      <w:r w:rsidRPr="00AC48EC">
        <w:t>Thyroxine</w:t>
      </w:r>
      <w:proofErr w:type="spellEnd"/>
      <w:r>
        <w:t xml:space="preserve">, </w:t>
      </w:r>
      <w:proofErr w:type="spellStart"/>
      <w:r>
        <w:t>Phenytoin</w:t>
      </w:r>
      <w:proofErr w:type="gramStart"/>
      <w:r>
        <w:t>,</w:t>
      </w:r>
      <w:r w:rsidRPr="00AC48EC">
        <w:t>Barbiturates</w:t>
      </w:r>
      <w:proofErr w:type="spellEnd"/>
      <w:proofErr w:type="gramEnd"/>
      <w:r>
        <w:t xml:space="preserve">, </w:t>
      </w:r>
      <w:proofErr w:type="spellStart"/>
      <w:r w:rsidRPr="00AC48EC">
        <w:t>Thiazolidinediones</w:t>
      </w:r>
      <w:proofErr w:type="spellEnd"/>
      <w:r>
        <w:t xml:space="preserve">, </w:t>
      </w:r>
      <w:r w:rsidRPr="00AC48EC">
        <w:t>Chronic Lithium use</w:t>
      </w:r>
      <w:r>
        <w:t>.</w:t>
      </w:r>
    </w:p>
    <w:p w14:paraId="2D1F9611" w14:textId="77777777" w:rsidR="00A16CE2" w:rsidRDefault="00A16CE2" w:rsidP="00D90652">
      <w:pPr>
        <w:pStyle w:val="normal0"/>
        <w:jc w:val="center"/>
      </w:pPr>
    </w:p>
    <w:p w14:paraId="2FCCD794" w14:textId="77777777" w:rsidR="00AC48EC" w:rsidRPr="00A86D8A" w:rsidRDefault="00AC48EC" w:rsidP="00AC48EC">
      <w:pPr>
        <w:pStyle w:val="ListParagraph"/>
        <w:numPr>
          <w:ilvl w:val="0"/>
          <w:numId w:val="15"/>
        </w:numPr>
        <w:rPr>
          <w:b/>
          <w:bCs/>
          <w:color w:val="000090"/>
          <w:u w:val="single"/>
        </w:rPr>
      </w:pPr>
      <w:r w:rsidRPr="00A86D8A">
        <w:rPr>
          <w:b/>
          <w:bCs/>
          <w:color w:val="000090"/>
          <w:u w:val="single"/>
        </w:rPr>
        <w:lastRenderedPageBreak/>
        <w:t>How patients could be presented:</w:t>
      </w:r>
    </w:p>
    <w:p w14:paraId="60771497" w14:textId="77777777" w:rsidR="00D90652" w:rsidRDefault="00D90652" w:rsidP="00D90652">
      <w:pPr>
        <w:pStyle w:val="normal0"/>
      </w:pPr>
    </w:p>
    <w:p w14:paraId="535DDE2A" w14:textId="77777777" w:rsidR="00D90652" w:rsidRDefault="00D90652" w:rsidP="00D90652">
      <w:pPr>
        <w:pStyle w:val="normal0"/>
      </w:pPr>
      <w:r>
        <w:rPr>
          <w:b/>
        </w:rPr>
        <w:t>History</w:t>
      </w:r>
      <w:r>
        <w:t>:</w:t>
      </w:r>
    </w:p>
    <w:p w14:paraId="5320CE05" w14:textId="77777777" w:rsidR="00D90652" w:rsidRDefault="00D90652" w:rsidP="00D90652">
      <w:pPr>
        <w:pStyle w:val="normal0"/>
      </w:pPr>
      <w:r>
        <w:t>The presentations of osteoporosis are asymptomatic until the fracture happens, so the clinical diagnosis of osteoporosis is based on presence history of the risk factors and previous low force fragility fracture. (1)</w:t>
      </w:r>
    </w:p>
    <w:p w14:paraId="2C8C6AB6" w14:textId="77777777" w:rsidR="00D90652" w:rsidRDefault="00D90652" w:rsidP="00D90652">
      <w:pPr>
        <w:pStyle w:val="normal0"/>
      </w:pPr>
    </w:p>
    <w:p w14:paraId="21E69A3E" w14:textId="77777777" w:rsidR="00D90652" w:rsidRDefault="00D90652" w:rsidP="00D90652">
      <w:pPr>
        <w:pStyle w:val="normal0"/>
      </w:pPr>
      <w:r>
        <w:rPr>
          <w:b/>
        </w:rPr>
        <w:t>Examination</w:t>
      </w:r>
      <w:r>
        <w:t xml:space="preserve"> :</w:t>
      </w:r>
    </w:p>
    <w:p w14:paraId="26B7F300" w14:textId="77777777" w:rsidR="00D90652" w:rsidRDefault="00D90652" w:rsidP="00D90652">
      <w:pPr>
        <w:pStyle w:val="normal0"/>
      </w:pPr>
      <w:r>
        <w:t xml:space="preserve">Nothing significant in examination except that low BMI or spinal kyphosis due to asymptomatic fracture may present. </w:t>
      </w:r>
    </w:p>
    <w:p w14:paraId="79F1FC7F" w14:textId="77777777" w:rsidR="00D90652" w:rsidRDefault="00D90652" w:rsidP="00D90652">
      <w:pPr>
        <w:pStyle w:val="normal0"/>
      </w:pPr>
      <w:r>
        <w:t>Assesment of vision, balance, gait and lower limb power are important to prevent the risk of fall and fracture. (1)</w:t>
      </w:r>
    </w:p>
    <w:p w14:paraId="53708880" w14:textId="77777777" w:rsidR="00D90652" w:rsidRDefault="00D90652" w:rsidP="00D90652">
      <w:pPr>
        <w:pStyle w:val="normal0"/>
      </w:pPr>
    </w:p>
    <w:p w14:paraId="1F3173CA" w14:textId="77777777" w:rsidR="00D90652" w:rsidRDefault="00D90652" w:rsidP="00D90652">
      <w:pPr>
        <w:pStyle w:val="normal0"/>
        <w:rPr>
          <w:b/>
        </w:rPr>
      </w:pPr>
      <w:r>
        <w:rPr>
          <w:b/>
        </w:rPr>
        <w:t>Investigation</w:t>
      </w:r>
    </w:p>
    <w:p w14:paraId="4733C554" w14:textId="77777777" w:rsidR="00D90652" w:rsidRPr="003471D1" w:rsidRDefault="003471D1" w:rsidP="00D90652">
      <w:pPr>
        <w:pStyle w:val="normal0"/>
        <w:rPr>
          <w:b/>
        </w:rPr>
      </w:pPr>
      <w:r>
        <w:rPr>
          <w:b/>
        </w:rPr>
        <w:t>A-</w:t>
      </w:r>
      <w:r w:rsidR="00D90652" w:rsidRPr="003471D1">
        <w:rPr>
          <w:b/>
        </w:rPr>
        <w:t xml:space="preserve">screening: </w:t>
      </w:r>
    </w:p>
    <w:p w14:paraId="28260328" w14:textId="77777777" w:rsidR="00D90652" w:rsidRDefault="00D90652" w:rsidP="00D90652">
      <w:pPr>
        <w:pStyle w:val="normal0"/>
      </w:pPr>
      <w:r>
        <w:t>+According to toward optimized practice</w:t>
      </w:r>
    </w:p>
    <w:p w14:paraId="5553CEA0" w14:textId="77777777" w:rsidR="00D90652" w:rsidRDefault="00D90652" w:rsidP="00D90652">
      <w:pPr>
        <w:pStyle w:val="normal0"/>
      </w:pPr>
      <w:r>
        <w:t>1-General population with no known risk factors (50-64 years old) :</w:t>
      </w:r>
    </w:p>
    <w:p w14:paraId="0B2AB9B4" w14:textId="77777777" w:rsidR="00D90652" w:rsidRDefault="00D90652" w:rsidP="00D90652">
      <w:pPr>
        <w:pStyle w:val="normal0"/>
      </w:pPr>
      <w:r>
        <w:t xml:space="preserve">- Using the Osteoporosis Self-assessment tool (OST): Weight (kg) – Age (years) which is considered an easy and effective method to identify patients at risk for osteoporosis. If the score more than 10 is considered the low risk of osteoporosis. </w:t>
      </w:r>
    </w:p>
    <w:p w14:paraId="0122DF3F" w14:textId="77777777" w:rsidR="00D90652" w:rsidRDefault="00D90652" w:rsidP="00D90652">
      <w:pPr>
        <w:pStyle w:val="normal0"/>
      </w:pPr>
      <w:r>
        <w:t xml:space="preserve">-A bone mineral density (BMD) test is required to order only if OST score is &lt;10 which is moderate to high-risk od osteoporosis. </w:t>
      </w:r>
    </w:p>
    <w:p w14:paraId="31DB37D9" w14:textId="77777777" w:rsidR="00D90652" w:rsidRDefault="00D90652" w:rsidP="00D90652">
      <w:pPr>
        <w:pStyle w:val="normal0"/>
      </w:pPr>
      <w:r>
        <w:t>-Reassess OST every 5 years.</w:t>
      </w:r>
    </w:p>
    <w:p w14:paraId="41FA5002" w14:textId="77777777" w:rsidR="00D90652" w:rsidRDefault="00D90652" w:rsidP="00D90652">
      <w:pPr>
        <w:pStyle w:val="normal0"/>
      </w:pPr>
    </w:p>
    <w:p w14:paraId="3ADC2957" w14:textId="77777777" w:rsidR="00D90652" w:rsidRDefault="00D90652" w:rsidP="00D90652">
      <w:pPr>
        <w:pStyle w:val="normal0"/>
      </w:pPr>
      <w:r>
        <w:t>2- Patients with known risk factors :</w:t>
      </w:r>
    </w:p>
    <w:p w14:paraId="2B2AD136" w14:textId="77777777" w:rsidR="00D90652" w:rsidRDefault="00D90652" w:rsidP="00D90652">
      <w:pPr>
        <w:pStyle w:val="normal0"/>
      </w:pPr>
      <w:r>
        <w:t>Perform BMD test for men and women above the age of 50 and with one or more of the following risk factors :</w:t>
      </w:r>
    </w:p>
    <w:p w14:paraId="24A8DFF5" w14:textId="77777777" w:rsidR="00D90652" w:rsidRDefault="00D90652" w:rsidP="00D90652">
      <w:pPr>
        <w:pStyle w:val="normal0"/>
      </w:pPr>
      <w:r>
        <w:t>-Risk of future fractures and fragility fracture after the age of 40.</w:t>
      </w:r>
    </w:p>
    <w:p w14:paraId="7DA47D96" w14:textId="77777777" w:rsidR="00D90652" w:rsidRDefault="00D90652" w:rsidP="00D90652">
      <w:pPr>
        <w:pStyle w:val="normal0"/>
      </w:pPr>
      <w:r>
        <w:t>-Vertebral compression fracture or osteopenia identified on radiography</w:t>
      </w:r>
    </w:p>
    <w:p w14:paraId="2A72DD8D" w14:textId="77777777" w:rsidR="00D90652" w:rsidRDefault="00D90652" w:rsidP="00D90652">
      <w:pPr>
        <w:pStyle w:val="normal0"/>
      </w:pPr>
      <w:r>
        <w:t>- Parental hip fracture</w:t>
      </w:r>
    </w:p>
    <w:p w14:paraId="13AA4005" w14:textId="77777777" w:rsidR="00D90652" w:rsidRDefault="00D90652" w:rsidP="00D90652">
      <w:pPr>
        <w:pStyle w:val="normal0"/>
      </w:pPr>
      <w:r>
        <w:t>- Prolonged use of glucocorticoids</w:t>
      </w:r>
    </w:p>
    <w:p w14:paraId="0566B279" w14:textId="77777777" w:rsidR="00D90652" w:rsidRDefault="00D90652" w:rsidP="00D90652">
      <w:pPr>
        <w:pStyle w:val="normal0"/>
      </w:pPr>
      <w:r>
        <w:t>- Use of other high-risk medications</w:t>
      </w:r>
    </w:p>
    <w:p w14:paraId="4FD97757" w14:textId="77777777" w:rsidR="00D90652" w:rsidRDefault="00D90652" w:rsidP="00D90652">
      <w:pPr>
        <w:pStyle w:val="normal0"/>
      </w:pPr>
      <w:r>
        <w:t>-Rheumatoid arthritis, malabsorption syndrome, other disorders strongly associated with osteoporosis.</w:t>
      </w:r>
    </w:p>
    <w:p w14:paraId="64C424F6" w14:textId="77777777" w:rsidR="00D90652" w:rsidRDefault="00D90652" w:rsidP="00D90652">
      <w:pPr>
        <w:pStyle w:val="normal0"/>
      </w:pPr>
      <w:r>
        <w:t>- Current smoker</w:t>
      </w:r>
    </w:p>
    <w:p w14:paraId="53CAE1D5" w14:textId="77777777" w:rsidR="00D90652" w:rsidRDefault="00D90652" w:rsidP="00D90652">
      <w:pPr>
        <w:pStyle w:val="normal0"/>
      </w:pPr>
      <w:r>
        <w:t>- High alcohol intake (&gt;3 units/day)</w:t>
      </w:r>
    </w:p>
    <w:p w14:paraId="29469ADF" w14:textId="77777777" w:rsidR="00D90652" w:rsidRDefault="00D90652" w:rsidP="00D90652">
      <w:pPr>
        <w:pStyle w:val="normal0"/>
      </w:pPr>
      <w:r>
        <w:t>- Major weight loss (10% below their body weight at age 25) (2)</w:t>
      </w:r>
    </w:p>
    <w:p w14:paraId="14B02578" w14:textId="77777777" w:rsidR="00D90652" w:rsidRDefault="00D90652" w:rsidP="00D90652">
      <w:pPr>
        <w:pStyle w:val="normal0"/>
      </w:pPr>
    </w:p>
    <w:p w14:paraId="449A38DF" w14:textId="77777777" w:rsidR="00D90652" w:rsidRDefault="00D90652" w:rsidP="00D90652">
      <w:pPr>
        <w:pStyle w:val="normal0"/>
        <w:rPr>
          <w:b/>
        </w:rPr>
      </w:pPr>
      <w:r>
        <w:rPr>
          <w:b/>
        </w:rPr>
        <w:t xml:space="preserve">B-Diagnosis </w:t>
      </w:r>
    </w:p>
    <w:p w14:paraId="6B849967" w14:textId="77777777" w:rsidR="00D90652" w:rsidRDefault="00D90652" w:rsidP="00D90652">
      <w:pPr>
        <w:pStyle w:val="normal0"/>
      </w:pPr>
      <w:r>
        <w:t xml:space="preserve">1-Imaging: </w:t>
      </w:r>
    </w:p>
    <w:p w14:paraId="58FDEED1" w14:textId="77777777" w:rsidR="00D90652" w:rsidRDefault="00D90652" w:rsidP="00D90652">
      <w:pPr>
        <w:pStyle w:val="normal0"/>
      </w:pPr>
      <w:r>
        <w:t>BMD measurement by using DEXA scan is considered the gold standard test for diagnosis of osteoporosis. Normal DEXA scan when T score more than -1.  If T score is -2.5 or less indicates osteoporosis while if T score -2.5 less with fragility fracture implies severe osteoporosis.  Osteopenia is also reduced in bone mass with less severe than osteoporosis ( T score from -1 to  less than -2.5)</w:t>
      </w:r>
    </w:p>
    <w:p w14:paraId="20BF9F12" w14:textId="77777777" w:rsidR="00D90652" w:rsidRDefault="00D90652" w:rsidP="00D90652">
      <w:pPr>
        <w:pStyle w:val="normal0"/>
      </w:pPr>
      <w:r>
        <w:t>-Using quantitative ultrasound (QUS) of the heel if DUXA is unavailable.</w:t>
      </w:r>
    </w:p>
    <w:p w14:paraId="72463287" w14:textId="3249C706" w:rsidR="00D90652" w:rsidRDefault="00D90652" w:rsidP="00D90652">
      <w:pPr>
        <w:pStyle w:val="normal0"/>
      </w:pPr>
      <w:r>
        <w:t>-Quantitative CT could be done to measure trabecular bone de</w:t>
      </w:r>
      <w:r w:rsidR="00A86D8A">
        <w:t xml:space="preserve">nsity if DXA is unavailable. </w:t>
      </w:r>
    </w:p>
    <w:p w14:paraId="0A0D5FB4" w14:textId="77777777" w:rsidR="00D90652" w:rsidRDefault="00D90652" w:rsidP="00D90652">
      <w:pPr>
        <w:pStyle w:val="normal0"/>
      </w:pPr>
    </w:p>
    <w:p w14:paraId="3E1D3D34" w14:textId="77777777" w:rsidR="00D90652" w:rsidRDefault="00D90652" w:rsidP="00D90652">
      <w:pPr>
        <w:pStyle w:val="normal0"/>
        <w:rPr>
          <w:b/>
        </w:rPr>
      </w:pPr>
      <w:r>
        <w:rPr>
          <w:b/>
        </w:rPr>
        <w:t xml:space="preserve">2-Labrotary test : </w:t>
      </w:r>
    </w:p>
    <w:p w14:paraId="02C1D24E" w14:textId="77777777" w:rsidR="00D90652" w:rsidRDefault="00D90652" w:rsidP="00D90652">
      <w:pPr>
        <w:pStyle w:val="normal0"/>
      </w:pPr>
      <w:r>
        <w:t>-Biochemical: elevated urinary deoxypyridinoline and N-telopeptides; low serum procollagen type I N propeptide and elevated serum C-terminal telopeptide of type I collagen.</w:t>
      </w:r>
    </w:p>
    <w:p w14:paraId="60ADA8B7" w14:textId="77777777" w:rsidR="00D90652" w:rsidRDefault="00D90652" w:rsidP="00D90652">
      <w:pPr>
        <w:pStyle w:val="normal0"/>
      </w:pPr>
      <w:r>
        <w:t xml:space="preserve">-Other: Normal except the albumin could be decreased and serum PTH may be increased </w:t>
      </w:r>
    </w:p>
    <w:p w14:paraId="012E5F09" w14:textId="77777777" w:rsidR="00D90652" w:rsidRDefault="00D90652" w:rsidP="00D90652">
      <w:pPr>
        <w:pStyle w:val="normal0"/>
      </w:pPr>
    </w:p>
    <w:p w14:paraId="6B008B9F" w14:textId="77777777" w:rsidR="00AC48EC" w:rsidRPr="00A86D8A" w:rsidRDefault="00AC48EC" w:rsidP="00AC48EC">
      <w:pPr>
        <w:pStyle w:val="ListParagraph"/>
        <w:numPr>
          <w:ilvl w:val="0"/>
          <w:numId w:val="15"/>
        </w:numPr>
        <w:rPr>
          <w:b/>
          <w:bCs/>
          <w:color w:val="000090"/>
          <w:u w:val="single"/>
        </w:rPr>
      </w:pPr>
      <w:r w:rsidRPr="00A86D8A">
        <w:rPr>
          <w:b/>
          <w:bCs/>
          <w:color w:val="000090"/>
          <w:u w:val="single"/>
        </w:rPr>
        <w:t>Common fractures with osteoporosis</w:t>
      </w:r>
    </w:p>
    <w:p w14:paraId="0EF94B2D" w14:textId="77777777" w:rsidR="00D90652" w:rsidRDefault="00D90652" w:rsidP="00D90652">
      <w:pPr>
        <w:pStyle w:val="normal0"/>
      </w:pPr>
      <w:r>
        <w:t>1-Hip fracture</w:t>
      </w:r>
    </w:p>
    <w:p w14:paraId="0CC5B878" w14:textId="77777777" w:rsidR="00D90652" w:rsidRDefault="00D90652" w:rsidP="00D90652">
      <w:pPr>
        <w:pStyle w:val="normal0"/>
      </w:pPr>
      <w:r>
        <w:t xml:space="preserve">2-Wrist fracture </w:t>
      </w:r>
    </w:p>
    <w:p w14:paraId="18429323" w14:textId="77777777" w:rsidR="00D90652" w:rsidRDefault="00D90652" w:rsidP="00D90652">
      <w:pPr>
        <w:pStyle w:val="normal0"/>
      </w:pPr>
      <w:r>
        <w:t xml:space="preserve">3-femoral fractures are associated with long-term therapy of bisphosphonate.  </w:t>
      </w:r>
    </w:p>
    <w:p w14:paraId="4D135A64" w14:textId="77777777" w:rsidR="00D90652" w:rsidRDefault="00D90652" w:rsidP="00D90652">
      <w:pPr>
        <w:pStyle w:val="normal0"/>
      </w:pPr>
      <w:r>
        <w:t>4-Vertebral fractures</w:t>
      </w:r>
    </w:p>
    <w:p w14:paraId="7A7F7C66" w14:textId="77777777" w:rsidR="00AC48EC" w:rsidRPr="00AC48EC" w:rsidRDefault="00AC48EC" w:rsidP="00AC48EC">
      <w:pPr>
        <w:pStyle w:val="ListParagraph"/>
        <w:rPr>
          <w:b/>
          <w:bCs/>
          <w:u w:val="single"/>
        </w:rPr>
      </w:pPr>
    </w:p>
    <w:p w14:paraId="07D45F9A" w14:textId="77777777" w:rsidR="00AC48EC" w:rsidRPr="00A86D8A" w:rsidRDefault="00AC48EC" w:rsidP="00AC48EC">
      <w:pPr>
        <w:pStyle w:val="ListParagraph"/>
        <w:numPr>
          <w:ilvl w:val="0"/>
          <w:numId w:val="15"/>
        </w:numPr>
        <w:rPr>
          <w:b/>
          <w:bCs/>
          <w:color w:val="000090"/>
          <w:u w:val="single"/>
        </w:rPr>
      </w:pPr>
      <w:r w:rsidRPr="00A86D8A">
        <w:rPr>
          <w:b/>
          <w:bCs/>
          <w:color w:val="000090"/>
          <w:u w:val="single"/>
        </w:rPr>
        <w:t>Vitamin D and Comorbidities</w:t>
      </w:r>
    </w:p>
    <w:p w14:paraId="796444E0" w14:textId="77777777" w:rsidR="00D90652" w:rsidRDefault="00D90652" w:rsidP="00D90652">
      <w:pPr>
        <w:pStyle w:val="normal0"/>
      </w:pPr>
    </w:p>
    <w:p w14:paraId="16B32C7B" w14:textId="77777777" w:rsidR="00D90652" w:rsidRDefault="00D90652" w:rsidP="00D90652">
      <w:pPr>
        <w:pStyle w:val="normal0"/>
        <w:rPr>
          <w:b/>
        </w:rPr>
      </w:pPr>
      <w:r>
        <w:rPr>
          <w:b/>
        </w:rPr>
        <w:t>Causes of Vitamin D deficiency :</w:t>
      </w:r>
    </w:p>
    <w:p w14:paraId="72BE1BC2" w14:textId="77777777" w:rsidR="00D90652" w:rsidRDefault="00D90652" w:rsidP="00D90652">
      <w:pPr>
        <w:pStyle w:val="normal0"/>
      </w:pPr>
    </w:p>
    <w:p w14:paraId="023BE0B5" w14:textId="7E52F2AD" w:rsidR="00D90652" w:rsidRDefault="00D90652" w:rsidP="00D90652">
      <w:pPr>
        <w:pStyle w:val="normal0"/>
      </w:pPr>
      <w:r>
        <w:t>1-Avoid the exposure to sunlight: the sun is considered the main source of Vitamin D</w:t>
      </w:r>
    </w:p>
    <w:p w14:paraId="4E2843B7" w14:textId="77777777" w:rsidR="00D90652" w:rsidRDefault="00D90652" w:rsidP="00D90652">
      <w:pPr>
        <w:pStyle w:val="normal0"/>
      </w:pPr>
      <w:r>
        <w:t>2-The sun screening action of melanin because of increased in pigmentation reducing the vitamin D production in the skin.</w:t>
      </w:r>
    </w:p>
    <w:p w14:paraId="79BA93A7" w14:textId="77777777" w:rsidR="00D90652" w:rsidRDefault="00D90652" w:rsidP="00D90652">
      <w:pPr>
        <w:pStyle w:val="normal0"/>
      </w:pPr>
      <w:r>
        <w:t>3-Ageing is associated to reduce the ability of production vitamin D decreases.</w:t>
      </w:r>
    </w:p>
    <w:p w14:paraId="05BF6C27" w14:textId="77777777" w:rsidR="00D90652" w:rsidRDefault="00D90652" w:rsidP="00D90652">
      <w:pPr>
        <w:pStyle w:val="normal0"/>
      </w:pPr>
      <w:r>
        <w:t xml:space="preserve">4-Inadequate dietary of vitamin D intake. </w:t>
      </w:r>
    </w:p>
    <w:p w14:paraId="1BA4B8A9" w14:textId="77777777" w:rsidR="00D90652" w:rsidRDefault="00D90652" w:rsidP="00D90652">
      <w:pPr>
        <w:pStyle w:val="normal0"/>
      </w:pPr>
      <w:r>
        <w:t>5-Infants that their nutrition only from breast milk</w:t>
      </w:r>
    </w:p>
    <w:p w14:paraId="194CF07B" w14:textId="25DF08C9" w:rsidR="00D90652" w:rsidRDefault="00D90652" w:rsidP="00D90652">
      <w:pPr>
        <w:pStyle w:val="normal0"/>
      </w:pPr>
      <w:r>
        <w:t>6-Intes</w:t>
      </w:r>
      <w:r w:rsidR="00A86D8A">
        <w:t>tinal Malabsorption syndrome (</w:t>
      </w:r>
      <w:r>
        <w:t>coeliac disease, cystic fibrosis, Crohn's disease, Whipple's disease, or short bowel syndrome and gastric bypass surgery) (5 with all above )</w:t>
      </w:r>
    </w:p>
    <w:p w14:paraId="37B2644B" w14:textId="4F34DB9F" w:rsidR="00D90652" w:rsidRDefault="00D90652" w:rsidP="00D90652">
      <w:pPr>
        <w:pStyle w:val="normal0"/>
      </w:pPr>
      <w:r>
        <w:t xml:space="preserve">7- Rarely Vitamin D deficiency-like syndrome can occur as a result of several inherited disorders that either reduce or prevent the metabolism of 25-hydroxyvitamin D to 1,25-dihydroxy vitamin D. </w:t>
      </w:r>
    </w:p>
    <w:p w14:paraId="51BE6145" w14:textId="37688955" w:rsidR="00D90652" w:rsidRDefault="00D90652" w:rsidP="00D90652">
      <w:pPr>
        <w:pStyle w:val="normal0"/>
      </w:pPr>
      <w:r>
        <w:t>8-Glucocorticoids, antiepileptic medication, highly active antiretroviral therapy (HAART), rifampicin, and St John's wort may also result in vitamin D deficiency owing to activation of the steroid and xenobiotic receptors, which results in activation of the enzymatic machinery destroying 25-hydroxy</w:t>
      </w:r>
      <w:r w:rsidR="00A86D8A">
        <w:t xml:space="preserve"> </w:t>
      </w:r>
      <w:r>
        <w:t>vitami</w:t>
      </w:r>
      <w:r w:rsidR="00A86D8A">
        <w:t>n D and 1,25-dihydroxy vitamin D.</w:t>
      </w:r>
    </w:p>
    <w:p w14:paraId="7EC7AF78" w14:textId="19D4CFB2" w:rsidR="00D462F3" w:rsidRDefault="00D462F3">
      <w:r>
        <w:br w:type="page"/>
      </w:r>
    </w:p>
    <w:p w14:paraId="4DA37878" w14:textId="77777777" w:rsidR="00D90652" w:rsidRPr="00A86D8A" w:rsidRDefault="00D90652" w:rsidP="00AC48EC">
      <w:pPr>
        <w:pStyle w:val="ListParagraph"/>
        <w:numPr>
          <w:ilvl w:val="0"/>
          <w:numId w:val="15"/>
        </w:numPr>
        <w:rPr>
          <w:b/>
          <w:bCs/>
          <w:color w:val="000090"/>
          <w:u w:val="single"/>
        </w:rPr>
      </w:pPr>
      <w:r w:rsidRPr="00A86D8A">
        <w:rPr>
          <w:b/>
          <w:bCs/>
          <w:color w:val="000090"/>
          <w:u w:val="single"/>
        </w:rPr>
        <w:t>Osteoporosis management:</w:t>
      </w:r>
    </w:p>
    <w:p w14:paraId="13516066" w14:textId="77777777" w:rsidR="00AC48EC" w:rsidRPr="00AC48EC" w:rsidRDefault="00AC48EC" w:rsidP="00AC48EC">
      <w:pPr>
        <w:pStyle w:val="ListParagraph"/>
        <w:rPr>
          <w:b/>
          <w:bCs/>
          <w:u w:val="single"/>
        </w:rPr>
      </w:pPr>
    </w:p>
    <w:p w14:paraId="33EBE380" w14:textId="198EE430" w:rsidR="00D90652" w:rsidRPr="00D90652" w:rsidRDefault="00A86D8A" w:rsidP="00D90652">
      <w:pPr>
        <w:numPr>
          <w:ilvl w:val="0"/>
          <w:numId w:val="3"/>
        </w:numPr>
      </w:pPr>
      <w:r>
        <w:t>Sub-o</w:t>
      </w:r>
      <w:r w:rsidR="00D90652" w:rsidRPr="00D90652">
        <w:t>bjectives</w:t>
      </w:r>
    </w:p>
    <w:p w14:paraId="7B83730C" w14:textId="77777777" w:rsidR="00D90652" w:rsidRPr="00D90652" w:rsidRDefault="00D90652" w:rsidP="00D90652">
      <w:pPr>
        <w:numPr>
          <w:ilvl w:val="0"/>
          <w:numId w:val="4"/>
        </w:numPr>
      </w:pPr>
      <w:r w:rsidRPr="00D90652">
        <w:t xml:space="preserve">Prevent fractures </w:t>
      </w:r>
    </w:p>
    <w:p w14:paraId="7CE1937C" w14:textId="77777777" w:rsidR="00D90652" w:rsidRPr="00D90652" w:rsidRDefault="00D90652" w:rsidP="00D90652">
      <w:pPr>
        <w:numPr>
          <w:ilvl w:val="0"/>
          <w:numId w:val="4"/>
        </w:numPr>
      </w:pPr>
      <w:r w:rsidRPr="00D90652">
        <w:t xml:space="preserve">Increase bone density and mineralization </w:t>
      </w:r>
    </w:p>
    <w:p w14:paraId="74E3ED43" w14:textId="77777777" w:rsidR="00D90652" w:rsidRPr="00D90652" w:rsidRDefault="00D90652" w:rsidP="00D90652">
      <w:pPr>
        <w:numPr>
          <w:ilvl w:val="0"/>
          <w:numId w:val="4"/>
        </w:numPr>
      </w:pPr>
      <w:r w:rsidRPr="00D90652">
        <w:t xml:space="preserve">Improve quality of life </w:t>
      </w:r>
    </w:p>
    <w:p w14:paraId="67120EDC" w14:textId="77777777" w:rsidR="00D90652" w:rsidRPr="00D90652" w:rsidRDefault="00D90652" w:rsidP="00D90652">
      <w:pPr>
        <w:numPr>
          <w:ilvl w:val="0"/>
          <w:numId w:val="4"/>
        </w:numPr>
      </w:pPr>
      <w:r w:rsidRPr="00D90652">
        <w:t>Prevent further falls</w:t>
      </w:r>
    </w:p>
    <w:p w14:paraId="3AD100F0" w14:textId="77777777" w:rsidR="00D90652" w:rsidRPr="00D90652" w:rsidRDefault="00D90652" w:rsidP="00D90652"/>
    <w:p w14:paraId="7F1DCA0E" w14:textId="77777777" w:rsidR="00D90652" w:rsidRPr="00D90652" w:rsidRDefault="00D90652" w:rsidP="00D90652">
      <w:pPr>
        <w:numPr>
          <w:ilvl w:val="0"/>
          <w:numId w:val="5"/>
        </w:numPr>
        <w:rPr>
          <w:b/>
          <w:bCs/>
          <w:u w:val="single"/>
        </w:rPr>
      </w:pPr>
      <w:r w:rsidRPr="00D90652">
        <w:rPr>
          <w:b/>
          <w:bCs/>
          <w:u w:val="single"/>
        </w:rPr>
        <w:t xml:space="preserve">Prevent fractures </w:t>
      </w:r>
    </w:p>
    <w:p w14:paraId="34DD773E" w14:textId="77777777" w:rsidR="00D90652" w:rsidRPr="00D90652" w:rsidRDefault="00D90652" w:rsidP="00D90652">
      <w:pPr>
        <w:numPr>
          <w:ilvl w:val="0"/>
          <w:numId w:val="3"/>
        </w:numPr>
      </w:pPr>
      <w:r w:rsidRPr="00D90652">
        <w:t>Nutrition: calcium and vitamin D</w:t>
      </w:r>
    </w:p>
    <w:p w14:paraId="2F345E9D" w14:textId="77777777" w:rsidR="00D90652" w:rsidRPr="00D90652" w:rsidRDefault="00D90652" w:rsidP="00D90652">
      <w:pPr>
        <w:numPr>
          <w:ilvl w:val="0"/>
          <w:numId w:val="3"/>
        </w:numPr>
      </w:pPr>
      <w:r w:rsidRPr="00D90652">
        <w:t xml:space="preserve">Physical Activity </w:t>
      </w:r>
    </w:p>
    <w:p w14:paraId="071E85C1" w14:textId="77777777" w:rsidR="00D90652" w:rsidRPr="00D90652" w:rsidRDefault="00D90652" w:rsidP="00D90652">
      <w:pPr>
        <w:numPr>
          <w:ilvl w:val="0"/>
          <w:numId w:val="3"/>
        </w:numPr>
      </w:pPr>
      <w:r w:rsidRPr="00D90652">
        <w:t xml:space="preserve">Other lifestyle factors: Smoking cessation </w:t>
      </w:r>
    </w:p>
    <w:p w14:paraId="38FDF2FD" w14:textId="77777777" w:rsidR="00D90652" w:rsidRPr="00D90652" w:rsidRDefault="00D90652" w:rsidP="00D90652"/>
    <w:p w14:paraId="015F9E65" w14:textId="77777777" w:rsidR="00D90652" w:rsidRPr="00D90652" w:rsidRDefault="00D90652" w:rsidP="00D90652">
      <w:pPr>
        <w:numPr>
          <w:ilvl w:val="0"/>
          <w:numId w:val="5"/>
        </w:numPr>
        <w:rPr>
          <w:b/>
          <w:bCs/>
          <w:u w:val="single"/>
        </w:rPr>
      </w:pPr>
      <w:r w:rsidRPr="00D90652">
        <w:rPr>
          <w:b/>
          <w:bCs/>
          <w:u w:val="single"/>
        </w:rPr>
        <w:t>Increase bone density and mineralization “Pharmacological”</w:t>
      </w:r>
    </w:p>
    <w:p w14:paraId="4C4C2AEF" w14:textId="48245137" w:rsidR="00D90652" w:rsidRPr="00D90652" w:rsidRDefault="00D90652" w:rsidP="00D90652">
      <w:pPr>
        <w:numPr>
          <w:ilvl w:val="0"/>
          <w:numId w:val="6"/>
        </w:numPr>
      </w:pPr>
      <w:r w:rsidRPr="00D90652">
        <w:t>Bisphosphonates “</w:t>
      </w:r>
      <w:proofErr w:type="spellStart"/>
      <w:r w:rsidRPr="00291938">
        <w:rPr>
          <w:color w:val="FF0000"/>
        </w:rPr>
        <w:t>Aledronate</w:t>
      </w:r>
      <w:proofErr w:type="spellEnd"/>
      <w:r w:rsidR="00291938">
        <w:rPr>
          <w:rStyle w:val="FootnoteReference"/>
        </w:rPr>
        <w:footnoteReference w:id="1"/>
      </w:r>
      <w:r w:rsidRPr="00D90652">
        <w:t xml:space="preserve">” </w:t>
      </w:r>
    </w:p>
    <w:p w14:paraId="2117ED0B" w14:textId="77777777" w:rsidR="00D90652" w:rsidRPr="00D90652" w:rsidRDefault="00D90652" w:rsidP="00D90652">
      <w:pPr>
        <w:numPr>
          <w:ilvl w:val="0"/>
          <w:numId w:val="6"/>
        </w:numPr>
      </w:pPr>
      <w:proofErr w:type="spellStart"/>
      <w:r w:rsidRPr="00D90652">
        <w:t>Denosumab</w:t>
      </w:r>
      <w:proofErr w:type="spellEnd"/>
      <w:r w:rsidRPr="00D90652">
        <w:t xml:space="preserve"> </w:t>
      </w:r>
    </w:p>
    <w:p w14:paraId="2DED7240" w14:textId="77777777" w:rsidR="00D90652" w:rsidRPr="00D90652" w:rsidRDefault="00D90652" w:rsidP="00D90652">
      <w:pPr>
        <w:numPr>
          <w:ilvl w:val="0"/>
          <w:numId w:val="6"/>
        </w:numPr>
      </w:pPr>
      <w:r w:rsidRPr="00D90652">
        <w:t>Selective estrogen receptor modulator such as “</w:t>
      </w:r>
      <w:proofErr w:type="spellStart"/>
      <w:r w:rsidRPr="00D90652">
        <w:t>Raloxifine</w:t>
      </w:r>
      <w:proofErr w:type="spellEnd"/>
      <w:r w:rsidRPr="00D90652">
        <w:t>”</w:t>
      </w:r>
    </w:p>
    <w:p w14:paraId="0944BE05" w14:textId="17B6CAE2" w:rsidR="00D90652" w:rsidRPr="00D90652" w:rsidRDefault="00D90652" w:rsidP="00D90652">
      <w:pPr>
        <w:numPr>
          <w:ilvl w:val="0"/>
          <w:numId w:val="6"/>
        </w:numPr>
      </w:pPr>
      <w:r w:rsidRPr="00D90652">
        <w:t>Parathyroid hormone “</w:t>
      </w:r>
      <w:proofErr w:type="spellStart"/>
      <w:r w:rsidRPr="00D90652">
        <w:t>Teriparatide</w:t>
      </w:r>
      <w:proofErr w:type="spellEnd"/>
      <w:r w:rsidR="00291938">
        <w:rPr>
          <w:rStyle w:val="FootnoteReference"/>
        </w:rPr>
        <w:footnoteReference w:id="2"/>
      </w:r>
      <w:r w:rsidRPr="00D90652">
        <w:t>”</w:t>
      </w:r>
    </w:p>
    <w:p w14:paraId="2D3A8535" w14:textId="77777777" w:rsidR="00D90652" w:rsidRPr="00D90652" w:rsidRDefault="00D90652" w:rsidP="00D90652">
      <w:pPr>
        <w:numPr>
          <w:ilvl w:val="0"/>
          <w:numId w:val="6"/>
        </w:numPr>
      </w:pPr>
      <w:r w:rsidRPr="00D90652">
        <w:t xml:space="preserve">Calcitonin  </w:t>
      </w:r>
    </w:p>
    <w:p w14:paraId="39150F5B" w14:textId="77777777" w:rsidR="00D90652" w:rsidRPr="00D90652" w:rsidRDefault="00D90652" w:rsidP="00D90652"/>
    <w:p w14:paraId="77FAEC5F" w14:textId="77777777" w:rsidR="00D90652" w:rsidRPr="00D90652" w:rsidRDefault="00D90652" w:rsidP="00D90652">
      <w:pPr>
        <w:numPr>
          <w:ilvl w:val="0"/>
          <w:numId w:val="5"/>
        </w:numPr>
        <w:rPr>
          <w:b/>
          <w:bCs/>
          <w:u w:val="single"/>
        </w:rPr>
      </w:pPr>
      <w:r w:rsidRPr="00D90652">
        <w:rPr>
          <w:b/>
          <w:bCs/>
          <w:u w:val="single"/>
        </w:rPr>
        <w:t xml:space="preserve">Surgical therapy </w:t>
      </w:r>
    </w:p>
    <w:p w14:paraId="704B024D" w14:textId="77777777" w:rsidR="00D90652" w:rsidRPr="00D90652" w:rsidRDefault="00D90652" w:rsidP="00D90652">
      <w:pPr>
        <w:numPr>
          <w:ilvl w:val="0"/>
          <w:numId w:val="7"/>
        </w:numPr>
      </w:pPr>
      <w:proofErr w:type="spellStart"/>
      <w:r w:rsidRPr="00D90652">
        <w:t>Vertebroplasy</w:t>
      </w:r>
      <w:proofErr w:type="spellEnd"/>
      <w:r w:rsidRPr="00D90652">
        <w:t xml:space="preserve"> and </w:t>
      </w:r>
      <w:proofErr w:type="spellStart"/>
      <w:r w:rsidRPr="00D90652">
        <w:t>Kyphoplasty</w:t>
      </w:r>
      <w:proofErr w:type="spellEnd"/>
      <w:r w:rsidRPr="00D90652">
        <w:t xml:space="preserve"> </w:t>
      </w:r>
    </w:p>
    <w:p w14:paraId="08A445AD" w14:textId="77777777" w:rsidR="00D90652" w:rsidRPr="00D90652" w:rsidRDefault="00D90652" w:rsidP="00D90652"/>
    <w:p w14:paraId="2111C183" w14:textId="77777777" w:rsidR="00D90652" w:rsidRPr="00D90652" w:rsidRDefault="00D90652" w:rsidP="00D90652">
      <w:pPr>
        <w:numPr>
          <w:ilvl w:val="0"/>
          <w:numId w:val="5"/>
        </w:numPr>
        <w:rPr>
          <w:b/>
          <w:bCs/>
          <w:u w:val="single"/>
        </w:rPr>
      </w:pPr>
      <w:r w:rsidRPr="00D90652">
        <w:rPr>
          <w:b/>
          <w:bCs/>
          <w:u w:val="single"/>
        </w:rPr>
        <w:t xml:space="preserve">Osteoporosis Guidelines </w:t>
      </w:r>
    </w:p>
    <w:p w14:paraId="413972E4" w14:textId="77777777" w:rsidR="00D90652" w:rsidRPr="00D90652" w:rsidRDefault="00D90652" w:rsidP="00D90652">
      <w:pPr>
        <w:numPr>
          <w:ilvl w:val="0"/>
          <w:numId w:val="8"/>
        </w:numPr>
      </w:pPr>
      <w:r w:rsidRPr="00D90652">
        <w:t>The National Osteoporosis Foundation (NOF) recommends that pharmacologic therapy should be reserved for postmenopausal women and men aged 50 years or older who present with the following:</w:t>
      </w:r>
    </w:p>
    <w:p w14:paraId="53F9666D" w14:textId="77777777" w:rsidR="00D90652" w:rsidRPr="00D90652" w:rsidRDefault="00D90652" w:rsidP="00D90652">
      <w:pPr>
        <w:numPr>
          <w:ilvl w:val="0"/>
          <w:numId w:val="9"/>
        </w:numPr>
      </w:pPr>
      <w:r w:rsidRPr="00D90652">
        <w:t>A hip or vertebral fracture vertebral fractures may be clinical or morphometric.</w:t>
      </w:r>
    </w:p>
    <w:p w14:paraId="21DB3605" w14:textId="77777777" w:rsidR="00D90652" w:rsidRPr="00D90652" w:rsidRDefault="00D90652" w:rsidP="00D90652">
      <w:pPr>
        <w:numPr>
          <w:ilvl w:val="0"/>
          <w:numId w:val="9"/>
        </w:numPr>
      </w:pPr>
      <w:r w:rsidRPr="00D90652">
        <w:t>T-score of –2.5 or less at the femoral neck or spine after appropriate evaluation to exclude secondary causes.</w:t>
      </w:r>
    </w:p>
    <w:p w14:paraId="71B43029" w14:textId="77777777" w:rsidR="00D90652" w:rsidRPr="00D90652" w:rsidRDefault="00D90652" w:rsidP="00D90652">
      <w:pPr>
        <w:numPr>
          <w:ilvl w:val="0"/>
          <w:numId w:val="9"/>
        </w:numPr>
      </w:pPr>
      <w:r w:rsidRPr="00D90652">
        <w:t>Low bone mass (T-score between –1.0 and –2.5 at the femoral neck or spine) and a 10-year probability of a hip fracture of 3% or greater or a 10-year probability of a major osteoporosis-related fracture of 20% or greater based on the </w:t>
      </w:r>
      <w:r w:rsidRPr="003471D1">
        <w:t>US-adapted WHO algorithm</w:t>
      </w:r>
      <w:r w:rsidR="003471D1">
        <w:t>.</w:t>
      </w:r>
    </w:p>
    <w:p w14:paraId="28A886A3" w14:textId="77777777" w:rsidR="00D90652" w:rsidRPr="00D90652" w:rsidRDefault="00D90652" w:rsidP="00D90652"/>
    <w:p w14:paraId="6441EADD" w14:textId="77777777" w:rsidR="00D90652" w:rsidRPr="00D90652" w:rsidRDefault="00D90652" w:rsidP="00D90652">
      <w:pPr>
        <w:numPr>
          <w:ilvl w:val="0"/>
          <w:numId w:val="10"/>
        </w:numPr>
      </w:pPr>
      <w:r w:rsidRPr="00D90652">
        <w:t>Guidelines from the American Association of Clinical Endocrinologists (AACE), published in 2010, include the following recommendations for choosing drugs to treat osteoporosis:</w:t>
      </w:r>
    </w:p>
    <w:p w14:paraId="4FDBFD58" w14:textId="77777777" w:rsidR="00D90652" w:rsidRPr="00D90652" w:rsidRDefault="00D90652" w:rsidP="00D90652">
      <w:pPr>
        <w:numPr>
          <w:ilvl w:val="0"/>
          <w:numId w:val="10"/>
        </w:numPr>
      </w:pPr>
      <w:r w:rsidRPr="00D90652">
        <w:t xml:space="preserve">First-line agents: alendronate, </w:t>
      </w:r>
      <w:proofErr w:type="spellStart"/>
      <w:r w:rsidRPr="00D90652">
        <w:t>risedronate</w:t>
      </w:r>
      <w:proofErr w:type="spellEnd"/>
      <w:r w:rsidRPr="00D90652">
        <w:t xml:space="preserve">, </w:t>
      </w:r>
      <w:proofErr w:type="spellStart"/>
      <w:r w:rsidRPr="00D90652">
        <w:t>zoledronic</w:t>
      </w:r>
      <w:proofErr w:type="spellEnd"/>
      <w:r w:rsidRPr="00D90652">
        <w:t xml:space="preserve"> acid, </w:t>
      </w:r>
      <w:proofErr w:type="spellStart"/>
      <w:r w:rsidRPr="00D90652">
        <w:t>denosumab</w:t>
      </w:r>
      <w:proofErr w:type="spellEnd"/>
    </w:p>
    <w:p w14:paraId="459309BC" w14:textId="77777777" w:rsidR="00D90652" w:rsidRPr="00D90652" w:rsidRDefault="00D90652" w:rsidP="00D90652">
      <w:pPr>
        <w:numPr>
          <w:ilvl w:val="0"/>
          <w:numId w:val="10"/>
        </w:numPr>
      </w:pPr>
      <w:r w:rsidRPr="00D90652">
        <w:t xml:space="preserve">Second-line agent: </w:t>
      </w:r>
      <w:proofErr w:type="spellStart"/>
      <w:r w:rsidRPr="00D90652">
        <w:t>ibandronate</w:t>
      </w:r>
      <w:proofErr w:type="spellEnd"/>
    </w:p>
    <w:p w14:paraId="34E9594C" w14:textId="77777777" w:rsidR="00D90652" w:rsidRPr="00D90652" w:rsidRDefault="00D90652" w:rsidP="00D90652">
      <w:pPr>
        <w:numPr>
          <w:ilvl w:val="0"/>
          <w:numId w:val="10"/>
        </w:numPr>
      </w:pPr>
      <w:r w:rsidRPr="00D90652">
        <w:t xml:space="preserve">Second- or third-line agent: </w:t>
      </w:r>
      <w:proofErr w:type="spellStart"/>
      <w:r w:rsidRPr="00D90652">
        <w:t>raloxifene</w:t>
      </w:r>
      <w:proofErr w:type="spellEnd"/>
    </w:p>
    <w:p w14:paraId="771396F1" w14:textId="77777777" w:rsidR="00D90652" w:rsidRPr="00D90652" w:rsidRDefault="00D90652" w:rsidP="00D90652">
      <w:pPr>
        <w:numPr>
          <w:ilvl w:val="0"/>
          <w:numId w:val="10"/>
        </w:numPr>
      </w:pPr>
      <w:r w:rsidRPr="00D90652">
        <w:t>Last-line agent: calcitonin</w:t>
      </w:r>
    </w:p>
    <w:p w14:paraId="45928FB1" w14:textId="77777777" w:rsidR="00D90652" w:rsidRPr="00D90652" w:rsidRDefault="00D90652" w:rsidP="00D90652">
      <w:pPr>
        <w:numPr>
          <w:ilvl w:val="0"/>
          <w:numId w:val="10"/>
        </w:numPr>
      </w:pPr>
      <w:r w:rsidRPr="00D90652">
        <w:t xml:space="preserve">Treatment for patients with very high fracture risk or in whom bisphosphonate therapy has failed: </w:t>
      </w:r>
      <w:proofErr w:type="spellStart"/>
      <w:r w:rsidRPr="00D90652">
        <w:t>teriparatide</w:t>
      </w:r>
      <w:proofErr w:type="spellEnd"/>
    </w:p>
    <w:p w14:paraId="229F41C2" w14:textId="77777777" w:rsidR="00D90652" w:rsidRPr="00D90652" w:rsidRDefault="00D90652" w:rsidP="00D90652"/>
    <w:p w14:paraId="52AA7BC1" w14:textId="77777777" w:rsidR="00D90652" w:rsidRPr="00D90652" w:rsidRDefault="00D90652" w:rsidP="00D90652">
      <w:pPr>
        <w:rPr>
          <w:b/>
          <w:bCs/>
          <w:u w:val="single"/>
        </w:rPr>
      </w:pPr>
      <w:r w:rsidRPr="00D90652">
        <w:rPr>
          <w:b/>
          <w:bCs/>
          <w:u w:val="single"/>
        </w:rPr>
        <w:t>Long-term monitoring:</w:t>
      </w:r>
    </w:p>
    <w:p w14:paraId="715A7181" w14:textId="77777777" w:rsidR="00D90652" w:rsidRPr="00D90652" w:rsidRDefault="00D90652" w:rsidP="00D90652">
      <w:pPr>
        <w:numPr>
          <w:ilvl w:val="0"/>
          <w:numId w:val="11"/>
        </w:numPr>
      </w:pPr>
      <w:r w:rsidRPr="00D90652">
        <w:t xml:space="preserve">The US Preventive Services Task Force 2011 recommendations state that evidence is lacking regarding optimal intervals for repeated screening by dual-energy x-ray absorptiometry (DXA) for individuals with osteoporosis, as well as regarding whether a woman with a normal BMD requires repeated screening. </w:t>
      </w:r>
    </w:p>
    <w:p w14:paraId="35C14C43" w14:textId="77777777" w:rsidR="00D90652" w:rsidRPr="00D90652" w:rsidRDefault="00D90652" w:rsidP="00D90652">
      <w:pPr>
        <w:numPr>
          <w:ilvl w:val="0"/>
          <w:numId w:val="11"/>
        </w:numPr>
      </w:pPr>
      <w:r w:rsidRPr="00D90652">
        <w:t>The USPSTF noted that, “a minimum of 2 years may be needed to reliably measure a change in BMD; however, longer intervals may be necessary to improve fracture risk prediction.”</w:t>
      </w:r>
    </w:p>
    <w:p w14:paraId="53977D7B" w14:textId="77777777" w:rsidR="00D90652" w:rsidRPr="00D90652" w:rsidRDefault="00D90652" w:rsidP="00D90652">
      <w:pPr>
        <w:numPr>
          <w:ilvl w:val="0"/>
          <w:numId w:val="11"/>
        </w:numPr>
      </w:pPr>
      <w:r w:rsidRPr="00D90652">
        <w:t>According to a study funded by the National Institutes of Health, osteoporosis will develop in fewer than 10% of older, postmenopausal women during the following rescreening intervals:</w:t>
      </w:r>
    </w:p>
    <w:p w14:paraId="75B5BB09" w14:textId="77777777" w:rsidR="00D90652" w:rsidRPr="00D90652" w:rsidRDefault="00D90652" w:rsidP="00D90652">
      <w:pPr>
        <w:numPr>
          <w:ilvl w:val="0"/>
          <w:numId w:val="11"/>
        </w:numPr>
      </w:pPr>
      <w:r w:rsidRPr="00D90652">
        <w:t>Women with normal BMD or mild osteopenia - Approximately 15 years</w:t>
      </w:r>
    </w:p>
    <w:p w14:paraId="57D542ED" w14:textId="77777777" w:rsidR="00D90652" w:rsidRPr="00D90652" w:rsidRDefault="00D90652" w:rsidP="00D90652">
      <w:pPr>
        <w:numPr>
          <w:ilvl w:val="0"/>
          <w:numId w:val="11"/>
        </w:numPr>
      </w:pPr>
      <w:r w:rsidRPr="00D90652">
        <w:t>Women with moderate osteopenia - Approximately 5 years</w:t>
      </w:r>
    </w:p>
    <w:p w14:paraId="2B756547" w14:textId="77777777" w:rsidR="00D90652" w:rsidRPr="00D90652" w:rsidRDefault="00D90652" w:rsidP="00D90652">
      <w:pPr>
        <w:numPr>
          <w:ilvl w:val="0"/>
          <w:numId w:val="11"/>
        </w:numPr>
      </w:pPr>
      <w:r w:rsidRPr="00D90652">
        <w:t>Women with advanced osteopenia - Approximately 1 year</w:t>
      </w:r>
    </w:p>
    <w:p w14:paraId="51BB0CD7" w14:textId="77777777" w:rsidR="00D90652" w:rsidRPr="00D90652" w:rsidRDefault="00D90652" w:rsidP="00D90652"/>
    <w:p w14:paraId="0FE868DA" w14:textId="77777777" w:rsidR="00D90652" w:rsidRPr="00D90652" w:rsidRDefault="00D90652" w:rsidP="00D90652">
      <w:pPr>
        <w:rPr>
          <w:b/>
          <w:bCs/>
          <w:u w:val="single"/>
        </w:rPr>
      </w:pPr>
      <w:r w:rsidRPr="00D90652">
        <w:rPr>
          <w:b/>
          <w:bCs/>
          <w:u w:val="single"/>
        </w:rPr>
        <w:t>Pregnancy and vitamin D</w:t>
      </w:r>
    </w:p>
    <w:p w14:paraId="620B3761" w14:textId="77777777" w:rsidR="00D90652" w:rsidRPr="00D90652" w:rsidRDefault="00D90652" w:rsidP="00D90652">
      <w:pPr>
        <w:numPr>
          <w:ilvl w:val="0"/>
          <w:numId w:val="12"/>
        </w:numPr>
      </w:pPr>
      <w:r w:rsidRPr="00D90652">
        <w:t xml:space="preserve">Vitamin D deficiency and insufficiency are common across the globe. Large epidemiological studies reveal the high prevalence of vitamin D in women, including antenatal and lactating mothers. </w:t>
      </w:r>
    </w:p>
    <w:p w14:paraId="63586951" w14:textId="77777777" w:rsidR="00D90652" w:rsidRPr="00D90652" w:rsidRDefault="00D90652" w:rsidP="00D90652">
      <w:pPr>
        <w:numPr>
          <w:ilvl w:val="0"/>
          <w:numId w:val="12"/>
        </w:numPr>
      </w:pPr>
      <w:r w:rsidRPr="00D90652">
        <w:t xml:space="preserve">Randomized controlled trials are available to support the need for, and benefits of, vitamin D supplementation in pregnancy. </w:t>
      </w:r>
    </w:p>
    <w:p w14:paraId="51CD238A" w14:textId="77777777" w:rsidR="00D90652" w:rsidRPr="00D90652" w:rsidRDefault="00D90652" w:rsidP="00D90652">
      <w:pPr>
        <w:numPr>
          <w:ilvl w:val="0"/>
          <w:numId w:val="12"/>
        </w:numPr>
      </w:pPr>
      <w:r w:rsidRPr="00D90652">
        <w:t>Newer data proves the safety and efficacy of 4000 IU vitamin D, administered daily over 6 months of pregnancy</w:t>
      </w:r>
      <w:r w:rsidR="00D462F3">
        <w:t>.</w:t>
      </w:r>
    </w:p>
    <w:p w14:paraId="45D93A2D" w14:textId="77777777" w:rsidR="00D90652" w:rsidRPr="00D90652" w:rsidRDefault="00D90652" w:rsidP="00D90652">
      <w:pPr>
        <w:numPr>
          <w:ilvl w:val="0"/>
          <w:numId w:val="12"/>
        </w:numPr>
      </w:pPr>
      <w:r w:rsidRPr="00D90652">
        <w:t>It has not however, found any correlation between matern</w:t>
      </w:r>
      <w:r w:rsidR="00D462F3">
        <w:t>al vitamin D and birth weight. </w:t>
      </w:r>
    </w:p>
    <w:p w14:paraId="3999B068" w14:textId="77777777" w:rsidR="00D90652" w:rsidRDefault="00D90652" w:rsidP="003471D1">
      <w:pPr>
        <w:numPr>
          <w:ilvl w:val="0"/>
          <w:numId w:val="12"/>
        </w:numPr>
      </w:pPr>
      <w:r w:rsidRPr="00D90652">
        <w:t xml:space="preserve">In a 2016 Cochrane review including data from seven small trials, pregnant women who received daily vitamin D supplementation had higher 25-hydroxyvitamin D levels than those receiving placebo, but </w:t>
      </w:r>
      <w:r w:rsidR="00D462F3">
        <w:t>the response was heterogeneous</w:t>
      </w:r>
    </w:p>
    <w:p w14:paraId="1430935E" w14:textId="77777777" w:rsidR="00A86D8A" w:rsidRDefault="00A86D8A" w:rsidP="00A86D8A"/>
    <w:p w14:paraId="26923D5D" w14:textId="11927133" w:rsidR="00A86D8A" w:rsidRDefault="00A86D8A" w:rsidP="00A86D8A">
      <w:pPr>
        <w:rPr>
          <w:rFonts w:ascii="Times New Roman" w:hAnsi="Times New Roman" w:cs="Times New Roman" w:hint="cs"/>
        </w:rPr>
      </w:pPr>
    </w:p>
    <w:p w14:paraId="3A0D660E" w14:textId="69585F75" w:rsidR="00A86D8A" w:rsidRPr="00A86D8A" w:rsidRDefault="00A86D8A" w:rsidP="00A86D8A">
      <w:pPr>
        <w:jc w:val="center"/>
        <w:rPr>
          <w:rFonts w:ascii="Times New Roman" w:hAnsi="Times New Roman" w:cs="Times New Roman"/>
        </w:rPr>
      </w:pPr>
      <w:r>
        <w:rPr>
          <w:rFonts w:ascii="Times New Roman" w:hAnsi="Times New Roman" w:cs="Times New Roman"/>
        </w:rPr>
        <w:t>BEST OF LUCK!</w:t>
      </w:r>
    </w:p>
    <w:sectPr w:rsidR="00A86D8A" w:rsidRPr="00A86D8A" w:rsidSect="00FA0FA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289C6" w14:textId="77777777" w:rsidR="00291938" w:rsidRDefault="00291938" w:rsidP="00AC48EC">
      <w:r>
        <w:separator/>
      </w:r>
    </w:p>
  </w:endnote>
  <w:endnote w:type="continuationSeparator" w:id="0">
    <w:p w14:paraId="794B5C86" w14:textId="77777777" w:rsidR="00291938" w:rsidRDefault="00291938" w:rsidP="00AC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bin">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174AD" w14:textId="77777777" w:rsidR="00291938" w:rsidRDefault="00291938" w:rsidP="00AC48EC">
      <w:r>
        <w:separator/>
      </w:r>
    </w:p>
  </w:footnote>
  <w:footnote w:type="continuationSeparator" w:id="0">
    <w:p w14:paraId="1D27E3D6" w14:textId="77777777" w:rsidR="00291938" w:rsidRDefault="00291938" w:rsidP="00AC48EC">
      <w:r>
        <w:continuationSeparator/>
      </w:r>
    </w:p>
  </w:footnote>
  <w:footnote w:id="1">
    <w:p w14:paraId="344C8AD1" w14:textId="77E49861" w:rsidR="00291938" w:rsidRDefault="00291938">
      <w:pPr>
        <w:pStyle w:val="FootnoteText"/>
      </w:pPr>
      <w:r>
        <w:rPr>
          <w:rStyle w:val="FootnoteReference"/>
        </w:rPr>
        <w:footnoteRef/>
      </w:r>
      <w:r>
        <w:t xml:space="preserve"> Doctor mentioned that this is the most important drug, it MUST be administrated with a full cup of water, and the patient has to stay for at least 30 min awake. </w:t>
      </w:r>
    </w:p>
  </w:footnote>
  <w:footnote w:id="2">
    <w:p w14:paraId="5A920D80" w14:textId="6FEBC723" w:rsidR="00291938" w:rsidRDefault="00291938">
      <w:pPr>
        <w:pStyle w:val="FootnoteText"/>
      </w:pPr>
      <w:r>
        <w:rPr>
          <w:rStyle w:val="FootnoteReference"/>
        </w:rPr>
        <w:footnoteRef/>
      </w:r>
      <w:r>
        <w:t xml:space="preserve"> Given if </w:t>
      </w:r>
      <w:r w:rsidRPr="00D90652">
        <w:t>Bisphosphonates</w:t>
      </w:r>
      <w:r>
        <w:t xml:space="preserve"> did not work.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96A"/>
    <w:multiLevelType w:val="hybridMultilevel"/>
    <w:tmpl w:val="26A6142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2B7E86"/>
    <w:multiLevelType w:val="hybridMultilevel"/>
    <w:tmpl w:val="3656CB02"/>
    <w:lvl w:ilvl="0" w:tplc="0276C8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73FA7"/>
    <w:multiLevelType w:val="hybridMultilevel"/>
    <w:tmpl w:val="4184E35E"/>
    <w:lvl w:ilvl="0" w:tplc="0994CCC6">
      <w:start w:val="1"/>
      <w:numFmt w:val="bullet"/>
      <w:lvlText w:val="•"/>
      <w:lvlJc w:val="left"/>
      <w:pPr>
        <w:tabs>
          <w:tab w:val="num" w:pos="720"/>
        </w:tabs>
        <w:ind w:left="720" w:hanging="360"/>
      </w:pPr>
      <w:rPr>
        <w:rFonts w:ascii="Arial" w:hAnsi="Arial" w:hint="default"/>
      </w:rPr>
    </w:lvl>
    <w:lvl w:ilvl="1" w:tplc="5F7A3AAC" w:tentative="1">
      <w:start w:val="1"/>
      <w:numFmt w:val="bullet"/>
      <w:lvlText w:val="•"/>
      <w:lvlJc w:val="left"/>
      <w:pPr>
        <w:tabs>
          <w:tab w:val="num" w:pos="1440"/>
        </w:tabs>
        <w:ind w:left="1440" w:hanging="360"/>
      </w:pPr>
      <w:rPr>
        <w:rFonts w:ascii="Arial" w:hAnsi="Arial" w:hint="default"/>
      </w:rPr>
    </w:lvl>
    <w:lvl w:ilvl="2" w:tplc="3D685228" w:tentative="1">
      <w:start w:val="1"/>
      <w:numFmt w:val="bullet"/>
      <w:lvlText w:val="•"/>
      <w:lvlJc w:val="left"/>
      <w:pPr>
        <w:tabs>
          <w:tab w:val="num" w:pos="2160"/>
        </w:tabs>
        <w:ind w:left="2160" w:hanging="360"/>
      </w:pPr>
      <w:rPr>
        <w:rFonts w:ascii="Arial" w:hAnsi="Arial" w:hint="default"/>
      </w:rPr>
    </w:lvl>
    <w:lvl w:ilvl="3" w:tplc="4B52F6DC" w:tentative="1">
      <w:start w:val="1"/>
      <w:numFmt w:val="bullet"/>
      <w:lvlText w:val="•"/>
      <w:lvlJc w:val="left"/>
      <w:pPr>
        <w:tabs>
          <w:tab w:val="num" w:pos="2880"/>
        </w:tabs>
        <w:ind w:left="2880" w:hanging="360"/>
      </w:pPr>
      <w:rPr>
        <w:rFonts w:ascii="Arial" w:hAnsi="Arial" w:hint="default"/>
      </w:rPr>
    </w:lvl>
    <w:lvl w:ilvl="4" w:tplc="E11438DE" w:tentative="1">
      <w:start w:val="1"/>
      <w:numFmt w:val="bullet"/>
      <w:lvlText w:val="•"/>
      <w:lvlJc w:val="left"/>
      <w:pPr>
        <w:tabs>
          <w:tab w:val="num" w:pos="3600"/>
        </w:tabs>
        <w:ind w:left="3600" w:hanging="360"/>
      </w:pPr>
      <w:rPr>
        <w:rFonts w:ascii="Arial" w:hAnsi="Arial" w:hint="default"/>
      </w:rPr>
    </w:lvl>
    <w:lvl w:ilvl="5" w:tplc="1EC4A34C" w:tentative="1">
      <w:start w:val="1"/>
      <w:numFmt w:val="bullet"/>
      <w:lvlText w:val="•"/>
      <w:lvlJc w:val="left"/>
      <w:pPr>
        <w:tabs>
          <w:tab w:val="num" w:pos="4320"/>
        </w:tabs>
        <w:ind w:left="4320" w:hanging="360"/>
      </w:pPr>
      <w:rPr>
        <w:rFonts w:ascii="Arial" w:hAnsi="Arial" w:hint="default"/>
      </w:rPr>
    </w:lvl>
    <w:lvl w:ilvl="6" w:tplc="32CE9802" w:tentative="1">
      <w:start w:val="1"/>
      <w:numFmt w:val="bullet"/>
      <w:lvlText w:val="•"/>
      <w:lvlJc w:val="left"/>
      <w:pPr>
        <w:tabs>
          <w:tab w:val="num" w:pos="5040"/>
        </w:tabs>
        <w:ind w:left="5040" w:hanging="360"/>
      </w:pPr>
      <w:rPr>
        <w:rFonts w:ascii="Arial" w:hAnsi="Arial" w:hint="default"/>
      </w:rPr>
    </w:lvl>
    <w:lvl w:ilvl="7" w:tplc="1BA4AAE4" w:tentative="1">
      <w:start w:val="1"/>
      <w:numFmt w:val="bullet"/>
      <w:lvlText w:val="•"/>
      <w:lvlJc w:val="left"/>
      <w:pPr>
        <w:tabs>
          <w:tab w:val="num" w:pos="5760"/>
        </w:tabs>
        <w:ind w:left="5760" w:hanging="360"/>
      </w:pPr>
      <w:rPr>
        <w:rFonts w:ascii="Arial" w:hAnsi="Arial" w:hint="default"/>
      </w:rPr>
    </w:lvl>
    <w:lvl w:ilvl="8" w:tplc="5644E13E" w:tentative="1">
      <w:start w:val="1"/>
      <w:numFmt w:val="bullet"/>
      <w:lvlText w:val="•"/>
      <w:lvlJc w:val="left"/>
      <w:pPr>
        <w:tabs>
          <w:tab w:val="num" w:pos="6480"/>
        </w:tabs>
        <w:ind w:left="6480" w:hanging="360"/>
      </w:pPr>
      <w:rPr>
        <w:rFonts w:ascii="Arial" w:hAnsi="Arial" w:hint="default"/>
      </w:rPr>
    </w:lvl>
  </w:abstractNum>
  <w:abstractNum w:abstractNumId="3">
    <w:nsid w:val="1E972DF0"/>
    <w:multiLevelType w:val="hybridMultilevel"/>
    <w:tmpl w:val="26A6142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3A11D23"/>
    <w:multiLevelType w:val="hybridMultilevel"/>
    <w:tmpl w:val="3F502F6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8B31564"/>
    <w:multiLevelType w:val="hybridMultilevel"/>
    <w:tmpl w:val="8E5AB1CA"/>
    <w:lvl w:ilvl="0" w:tplc="064CE05A">
      <w:start w:val="1"/>
      <w:numFmt w:val="decimal"/>
      <w:lvlText w:val="%1."/>
      <w:lvlJc w:val="left"/>
      <w:pPr>
        <w:tabs>
          <w:tab w:val="num" w:pos="720"/>
        </w:tabs>
        <w:ind w:left="720" w:hanging="360"/>
      </w:pPr>
    </w:lvl>
    <w:lvl w:ilvl="1" w:tplc="7B04C9AA" w:tentative="1">
      <w:start w:val="1"/>
      <w:numFmt w:val="decimal"/>
      <w:lvlText w:val="%2."/>
      <w:lvlJc w:val="left"/>
      <w:pPr>
        <w:tabs>
          <w:tab w:val="num" w:pos="1440"/>
        </w:tabs>
        <w:ind w:left="1440" w:hanging="360"/>
      </w:pPr>
    </w:lvl>
    <w:lvl w:ilvl="2" w:tplc="1D42B9BC" w:tentative="1">
      <w:start w:val="1"/>
      <w:numFmt w:val="decimal"/>
      <w:lvlText w:val="%3."/>
      <w:lvlJc w:val="left"/>
      <w:pPr>
        <w:tabs>
          <w:tab w:val="num" w:pos="2160"/>
        </w:tabs>
        <w:ind w:left="2160" w:hanging="360"/>
      </w:pPr>
    </w:lvl>
    <w:lvl w:ilvl="3" w:tplc="E452A04C" w:tentative="1">
      <w:start w:val="1"/>
      <w:numFmt w:val="decimal"/>
      <w:lvlText w:val="%4."/>
      <w:lvlJc w:val="left"/>
      <w:pPr>
        <w:tabs>
          <w:tab w:val="num" w:pos="2880"/>
        </w:tabs>
        <w:ind w:left="2880" w:hanging="360"/>
      </w:pPr>
    </w:lvl>
    <w:lvl w:ilvl="4" w:tplc="FC62C850" w:tentative="1">
      <w:start w:val="1"/>
      <w:numFmt w:val="decimal"/>
      <w:lvlText w:val="%5."/>
      <w:lvlJc w:val="left"/>
      <w:pPr>
        <w:tabs>
          <w:tab w:val="num" w:pos="3600"/>
        </w:tabs>
        <w:ind w:left="3600" w:hanging="360"/>
      </w:pPr>
    </w:lvl>
    <w:lvl w:ilvl="5" w:tplc="62FCBDB6" w:tentative="1">
      <w:start w:val="1"/>
      <w:numFmt w:val="decimal"/>
      <w:lvlText w:val="%6."/>
      <w:lvlJc w:val="left"/>
      <w:pPr>
        <w:tabs>
          <w:tab w:val="num" w:pos="4320"/>
        </w:tabs>
        <w:ind w:left="4320" w:hanging="360"/>
      </w:pPr>
    </w:lvl>
    <w:lvl w:ilvl="6" w:tplc="AA8C3E20" w:tentative="1">
      <w:start w:val="1"/>
      <w:numFmt w:val="decimal"/>
      <w:lvlText w:val="%7."/>
      <w:lvlJc w:val="left"/>
      <w:pPr>
        <w:tabs>
          <w:tab w:val="num" w:pos="5040"/>
        </w:tabs>
        <w:ind w:left="5040" w:hanging="360"/>
      </w:pPr>
    </w:lvl>
    <w:lvl w:ilvl="7" w:tplc="A17EE9D0" w:tentative="1">
      <w:start w:val="1"/>
      <w:numFmt w:val="decimal"/>
      <w:lvlText w:val="%8."/>
      <w:lvlJc w:val="left"/>
      <w:pPr>
        <w:tabs>
          <w:tab w:val="num" w:pos="5760"/>
        </w:tabs>
        <w:ind w:left="5760" w:hanging="360"/>
      </w:pPr>
    </w:lvl>
    <w:lvl w:ilvl="8" w:tplc="6FBAAA22" w:tentative="1">
      <w:start w:val="1"/>
      <w:numFmt w:val="decimal"/>
      <w:lvlText w:val="%9."/>
      <w:lvlJc w:val="left"/>
      <w:pPr>
        <w:tabs>
          <w:tab w:val="num" w:pos="6480"/>
        </w:tabs>
        <w:ind w:left="6480" w:hanging="360"/>
      </w:pPr>
    </w:lvl>
  </w:abstractNum>
  <w:abstractNum w:abstractNumId="6">
    <w:nsid w:val="2C847D9C"/>
    <w:multiLevelType w:val="hybridMultilevel"/>
    <w:tmpl w:val="522E13E2"/>
    <w:lvl w:ilvl="0" w:tplc="4C70CDB2">
      <w:start w:val="1"/>
      <w:numFmt w:val="bullet"/>
      <w:lvlText w:val="•"/>
      <w:lvlJc w:val="left"/>
      <w:pPr>
        <w:tabs>
          <w:tab w:val="num" w:pos="720"/>
        </w:tabs>
        <w:ind w:left="720" w:hanging="360"/>
      </w:pPr>
      <w:rPr>
        <w:rFonts w:ascii="Arial" w:hAnsi="Arial" w:hint="default"/>
      </w:rPr>
    </w:lvl>
    <w:lvl w:ilvl="1" w:tplc="B750E53C" w:tentative="1">
      <w:start w:val="1"/>
      <w:numFmt w:val="bullet"/>
      <w:lvlText w:val="•"/>
      <w:lvlJc w:val="left"/>
      <w:pPr>
        <w:tabs>
          <w:tab w:val="num" w:pos="1440"/>
        </w:tabs>
        <w:ind w:left="1440" w:hanging="360"/>
      </w:pPr>
      <w:rPr>
        <w:rFonts w:ascii="Arial" w:hAnsi="Arial" w:hint="default"/>
      </w:rPr>
    </w:lvl>
    <w:lvl w:ilvl="2" w:tplc="DAB841A2" w:tentative="1">
      <w:start w:val="1"/>
      <w:numFmt w:val="bullet"/>
      <w:lvlText w:val="•"/>
      <w:lvlJc w:val="left"/>
      <w:pPr>
        <w:tabs>
          <w:tab w:val="num" w:pos="2160"/>
        </w:tabs>
        <w:ind w:left="2160" w:hanging="360"/>
      </w:pPr>
      <w:rPr>
        <w:rFonts w:ascii="Arial" w:hAnsi="Arial" w:hint="default"/>
      </w:rPr>
    </w:lvl>
    <w:lvl w:ilvl="3" w:tplc="39A0393A" w:tentative="1">
      <w:start w:val="1"/>
      <w:numFmt w:val="bullet"/>
      <w:lvlText w:val="•"/>
      <w:lvlJc w:val="left"/>
      <w:pPr>
        <w:tabs>
          <w:tab w:val="num" w:pos="2880"/>
        </w:tabs>
        <w:ind w:left="2880" w:hanging="360"/>
      </w:pPr>
      <w:rPr>
        <w:rFonts w:ascii="Arial" w:hAnsi="Arial" w:hint="default"/>
      </w:rPr>
    </w:lvl>
    <w:lvl w:ilvl="4" w:tplc="EBD010CE" w:tentative="1">
      <w:start w:val="1"/>
      <w:numFmt w:val="bullet"/>
      <w:lvlText w:val="•"/>
      <w:lvlJc w:val="left"/>
      <w:pPr>
        <w:tabs>
          <w:tab w:val="num" w:pos="3600"/>
        </w:tabs>
        <w:ind w:left="3600" w:hanging="360"/>
      </w:pPr>
      <w:rPr>
        <w:rFonts w:ascii="Arial" w:hAnsi="Arial" w:hint="default"/>
      </w:rPr>
    </w:lvl>
    <w:lvl w:ilvl="5" w:tplc="F92A7E5C" w:tentative="1">
      <w:start w:val="1"/>
      <w:numFmt w:val="bullet"/>
      <w:lvlText w:val="•"/>
      <w:lvlJc w:val="left"/>
      <w:pPr>
        <w:tabs>
          <w:tab w:val="num" w:pos="4320"/>
        </w:tabs>
        <w:ind w:left="4320" w:hanging="360"/>
      </w:pPr>
      <w:rPr>
        <w:rFonts w:ascii="Arial" w:hAnsi="Arial" w:hint="default"/>
      </w:rPr>
    </w:lvl>
    <w:lvl w:ilvl="6" w:tplc="0E8684D2" w:tentative="1">
      <w:start w:val="1"/>
      <w:numFmt w:val="bullet"/>
      <w:lvlText w:val="•"/>
      <w:lvlJc w:val="left"/>
      <w:pPr>
        <w:tabs>
          <w:tab w:val="num" w:pos="5040"/>
        </w:tabs>
        <w:ind w:left="5040" w:hanging="360"/>
      </w:pPr>
      <w:rPr>
        <w:rFonts w:ascii="Arial" w:hAnsi="Arial" w:hint="default"/>
      </w:rPr>
    </w:lvl>
    <w:lvl w:ilvl="7" w:tplc="D08E8ECA" w:tentative="1">
      <w:start w:val="1"/>
      <w:numFmt w:val="bullet"/>
      <w:lvlText w:val="•"/>
      <w:lvlJc w:val="left"/>
      <w:pPr>
        <w:tabs>
          <w:tab w:val="num" w:pos="5760"/>
        </w:tabs>
        <w:ind w:left="5760" w:hanging="360"/>
      </w:pPr>
      <w:rPr>
        <w:rFonts w:ascii="Arial" w:hAnsi="Arial" w:hint="default"/>
      </w:rPr>
    </w:lvl>
    <w:lvl w:ilvl="8" w:tplc="623615B0" w:tentative="1">
      <w:start w:val="1"/>
      <w:numFmt w:val="bullet"/>
      <w:lvlText w:val="•"/>
      <w:lvlJc w:val="left"/>
      <w:pPr>
        <w:tabs>
          <w:tab w:val="num" w:pos="6480"/>
        </w:tabs>
        <w:ind w:left="6480" w:hanging="360"/>
      </w:pPr>
      <w:rPr>
        <w:rFonts w:ascii="Arial" w:hAnsi="Arial" w:hint="default"/>
      </w:rPr>
    </w:lvl>
  </w:abstractNum>
  <w:abstractNum w:abstractNumId="7">
    <w:nsid w:val="38113126"/>
    <w:multiLevelType w:val="hybridMultilevel"/>
    <w:tmpl w:val="73BC6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94468F"/>
    <w:multiLevelType w:val="hybridMultilevel"/>
    <w:tmpl w:val="5102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92097"/>
    <w:multiLevelType w:val="hybridMultilevel"/>
    <w:tmpl w:val="EBF6BADE"/>
    <w:lvl w:ilvl="0" w:tplc="739477AE">
      <w:start w:val="1"/>
      <w:numFmt w:val="bullet"/>
      <w:lvlText w:val="•"/>
      <w:lvlJc w:val="left"/>
      <w:pPr>
        <w:tabs>
          <w:tab w:val="num" w:pos="720"/>
        </w:tabs>
        <w:ind w:left="720" w:hanging="360"/>
      </w:pPr>
      <w:rPr>
        <w:rFonts w:ascii="Arial" w:hAnsi="Arial" w:hint="default"/>
      </w:rPr>
    </w:lvl>
    <w:lvl w:ilvl="1" w:tplc="EAB0E0D4" w:tentative="1">
      <w:start w:val="1"/>
      <w:numFmt w:val="bullet"/>
      <w:lvlText w:val="•"/>
      <w:lvlJc w:val="left"/>
      <w:pPr>
        <w:tabs>
          <w:tab w:val="num" w:pos="1440"/>
        </w:tabs>
        <w:ind w:left="1440" w:hanging="360"/>
      </w:pPr>
      <w:rPr>
        <w:rFonts w:ascii="Arial" w:hAnsi="Arial" w:hint="default"/>
      </w:rPr>
    </w:lvl>
    <w:lvl w:ilvl="2" w:tplc="BD8427A0" w:tentative="1">
      <w:start w:val="1"/>
      <w:numFmt w:val="bullet"/>
      <w:lvlText w:val="•"/>
      <w:lvlJc w:val="left"/>
      <w:pPr>
        <w:tabs>
          <w:tab w:val="num" w:pos="2160"/>
        </w:tabs>
        <w:ind w:left="2160" w:hanging="360"/>
      </w:pPr>
      <w:rPr>
        <w:rFonts w:ascii="Arial" w:hAnsi="Arial" w:hint="default"/>
      </w:rPr>
    </w:lvl>
    <w:lvl w:ilvl="3" w:tplc="72FE19BA" w:tentative="1">
      <w:start w:val="1"/>
      <w:numFmt w:val="bullet"/>
      <w:lvlText w:val="•"/>
      <w:lvlJc w:val="left"/>
      <w:pPr>
        <w:tabs>
          <w:tab w:val="num" w:pos="2880"/>
        </w:tabs>
        <w:ind w:left="2880" w:hanging="360"/>
      </w:pPr>
      <w:rPr>
        <w:rFonts w:ascii="Arial" w:hAnsi="Arial" w:hint="default"/>
      </w:rPr>
    </w:lvl>
    <w:lvl w:ilvl="4" w:tplc="489AA358" w:tentative="1">
      <w:start w:val="1"/>
      <w:numFmt w:val="bullet"/>
      <w:lvlText w:val="•"/>
      <w:lvlJc w:val="left"/>
      <w:pPr>
        <w:tabs>
          <w:tab w:val="num" w:pos="3600"/>
        </w:tabs>
        <w:ind w:left="3600" w:hanging="360"/>
      </w:pPr>
      <w:rPr>
        <w:rFonts w:ascii="Arial" w:hAnsi="Arial" w:hint="default"/>
      </w:rPr>
    </w:lvl>
    <w:lvl w:ilvl="5" w:tplc="171CDD20" w:tentative="1">
      <w:start w:val="1"/>
      <w:numFmt w:val="bullet"/>
      <w:lvlText w:val="•"/>
      <w:lvlJc w:val="left"/>
      <w:pPr>
        <w:tabs>
          <w:tab w:val="num" w:pos="4320"/>
        </w:tabs>
        <w:ind w:left="4320" w:hanging="360"/>
      </w:pPr>
      <w:rPr>
        <w:rFonts w:ascii="Arial" w:hAnsi="Arial" w:hint="default"/>
      </w:rPr>
    </w:lvl>
    <w:lvl w:ilvl="6" w:tplc="B4DA9E0C" w:tentative="1">
      <w:start w:val="1"/>
      <w:numFmt w:val="bullet"/>
      <w:lvlText w:val="•"/>
      <w:lvlJc w:val="left"/>
      <w:pPr>
        <w:tabs>
          <w:tab w:val="num" w:pos="5040"/>
        </w:tabs>
        <w:ind w:left="5040" w:hanging="360"/>
      </w:pPr>
      <w:rPr>
        <w:rFonts w:ascii="Arial" w:hAnsi="Arial" w:hint="default"/>
      </w:rPr>
    </w:lvl>
    <w:lvl w:ilvl="7" w:tplc="E0F83A90" w:tentative="1">
      <w:start w:val="1"/>
      <w:numFmt w:val="bullet"/>
      <w:lvlText w:val="•"/>
      <w:lvlJc w:val="left"/>
      <w:pPr>
        <w:tabs>
          <w:tab w:val="num" w:pos="5760"/>
        </w:tabs>
        <w:ind w:left="5760" w:hanging="360"/>
      </w:pPr>
      <w:rPr>
        <w:rFonts w:ascii="Arial" w:hAnsi="Arial" w:hint="default"/>
      </w:rPr>
    </w:lvl>
    <w:lvl w:ilvl="8" w:tplc="29B2E360" w:tentative="1">
      <w:start w:val="1"/>
      <w:numFmt w:val="bullet"/>
      <w:lvlText w:val="•"/>
      <w:lvlJc w:val="left"/>
      <w:pPr>
        <w:tabs>
          <w:tab w:val="num" w:pos="6480"/>
        </w:tabs>
        <w:ind w:left="6480" w:hanging="360"/>
      </w:pPr>
      <w:rPr>
        <w:rFonts w:ascii="Arial" w:hAnsi="Arial" w:hint="default"/>
      </w:rPr>
    </w:lvl>
  </w:abstractNum>
  <w:abstractNum w:abstractNumId="10">
    <w:nsid w:val="43A67757"/>
    <w:multiLevelType w:val="hybridMultilevel"/>
    <w:tmpl w:val="26A6142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465068B"/>
    <w:multiLevelType w:val="hybridMultilevel"/>
    <w:tmpl w:val="48B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B4893"/>
    <w:multiLevelType w:val="hybridMultilevel"/>
    <w:tmpl w:val="D42C1F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E30F11"/>
    <w:multiLevelType w:val="hybridMultilevel"/>
    <w:tmpl w:val="4A1ECEF8"/>
    <w:lvl w:ilvl="0" w:tplc="BFCC8A1A">
      <w:start w:val="1"/>
      <w:numFmt w:val="bullet"/>
      <w:lvlText w:val="•"/>
      <w:lvlJc w:val="left"/>
      <w:pPr>
        <w:tabs>
          <w:tab w:val="num" w:pos="360"/>
        </w:tabs>
        <w:ind w:left="360" w:hanging="360"/>
      </w:pPr>
      <w:rPr>
        <w:rFonts w:ascii="Arial" w:hAnsi="Arial" w:hint="default"/>
      </w:rPr>
    </w:lvl>
    <w:lvl w:ilvl="1" w:tplc="826A8284" w:tentative="1">
      <w:start w:val="1"/>
      <w:numFmt w:val="bullet"/>
      <w:lvlText w:val="•"/>
      <w:lvlJc w:val="left"/>
      <w:pPr>
        <w:tabs>
          <w:tab w:val="num" w:pos="1080"/>
        </w:tabs>
        <w:ind w:left="1080" w:hanging="360"/>
      </w:pPr>
      <w:rPr>
        <w:rFonts w:ascii="Arial" w:hAnsi="Arial" w:hint="default"/>
      </w:rPr>
    </w:lvl>
    <w:lvl w:ilvl="2" w:tplc="85A47F7E" w:tentative="1">
      <w:start w:val="1"/>
      <w:numFmt w:val="bullet"/>
      <w:lvlText w:val="•"/>
      <w:lvlJc w:val="left"/>
      <w:pPr>
        <w:tabs>
          <w:tab w:val="num" w:pos="1800"/>
        </w:tabs>
        <w:ind w:left="1800" w:hanging="360"/>
      </w:pPr>
      <w:rPr>
        <w:rFonts w:ascii="Arial" w:hAnsi="Arial" w:hint="default"/>
      </w:rPr>
    </w:lvl>
    <w:lvl w:ilvl="3" w:tplc="A33E05FC" w:tentative="1">
      <w:start w:val="1"/>
      <w:numFmt w:val="bullet"/>
      <w:lvlText w:val="•"/>
      <w:lvlJc w:val="left"/>
      <w:pPr>
        <w:tabs>
          <w:tab w:val="num" w:pos="2520"/>
        </w:tabs>
        <w:ind w:left="2520" w:hanging="360"/>
      </w:pPr>
      <w:rPr>
        <w:rFonts w:ascii="Arial" w:hAnsi="Arial" w:hint="default"/>
      </w:rPr>
    </w:lvl>
    <w:lvl w:ilvl="4" w:tplc="0FFA2550" w:tentative="1">
      <w:start w:val="1"/>
      <w:numFmt w:val="bullet"/>
      <w:lvlText w:val="•"/>
      <w:lvlJc w:val="left"/>
      <w:pPr>
        <w:tabs>
          <w:tab w:val="num" w:pos="3240"/>
        </w:tabs>
        <w:ind w:left="3240" w:hanging="360"/>
      </w:pPr>
      <w:rPr>
        <w:rFonts w:ascii="Arial" w:hAnsi="Arial" w:hint="default"/>
      </w:rPr>
    </w:lvl>
    <w:lvl w:ilvl="5" w:tplc="C1A0C834" w:tentative="1">
      <w:start w:val="1"/>
      <w:numFmt w:val="bullet"/>
      <w:lvlText w:val="•"/>
      <w:lvlJc w:val="left"/>
      <w:pPr>
        <w:tabs>
          <w:tab w:val="num" w:pos="3960"/>
        </w:tabs>
        <w:ind w:left="3960" w:hanging="360"/>
      </w:pPr>
      <w:rPr>
        <w:rFonts w:ascii="Arial" w:hAnsi="Arial" w:hint="default"/>
      </w:rPr>
    </w:lvl>
    <w:lvl w:ilvl="6" w:tplc="1CBCAF58" w:tentative="1">
      <w:start w:val="1"/>
      <w:numFmt w:val="bullet"/>
      <w:lvlText w:val="•"/>
      <w:lvlJc w:val="left"/>
      <w:pPr>
        <w:tabs>
          <w:tab w:val="num" w:pos="4680"/>
        </w:tabs>
        <w:ind w:left="4680" w:hanging="360"/>
      </w:pPr>
      <w:rPr>
        <w:rFonts w:ascii="Arial" w:hAnsi="Arial" w:hint="default"/>
      </w:rPr>
    </w:lvl>
    <w:lvl w:ilvl="7" w:tplc="62A2610C" w:tentative="1">
      <w:start w:val="1"/>
      <w:numFmt w:val="bullet"/>
      <w:lvlText w:val="•"/>
      <w:lvlJc w:val="left"/>
      <w:pPr>
        <w:tabs>
          <w:tab w:val="num" w:pos="5400"/>
        </w:tabs>
        <w:ind w:left="5400" w:hanging="360"/>
      </w:pPr>
      <w:rPr>
        <w:rFonts w:ascii="Arial" w:hAnsi="Arial" w:hint="default"/>
      </w:rPr>
    </w:lvl>
    <w:lvl w:ilvl="8" w:tplc="99642756" w:tentative="1">
      <w:start w:val="1"/>
      <w:numFmt w:val="bullet"/>
      <w:lvlText w:val="•"/>
      <w:lvlJc w:val="left"/>
      <w:pPr>
        <w:tabs>
          <w:tab w:val="num" w:pos="6120"/>
        </w:tabs>
        <w:ind w:left="6120" w:hanging="360"/>
      </w:pPr>
      <w:rPr>
        <w:rFonts w:ascii="Arial" w:hAnsi="Arial" w:hint="default"/>
      </w:rPr>
    </w:lvl>
  </w:abstractNum>
  <w:abstractNum w:abstractNumId="14">
    <w:nsid w:val="4DE926DD"/>
    <w:multiLevelType w:val="hybridMultilevel"/>
    <w:tmpl w:val="712AF6DE"/>
    <w:lvl w:ilvl="0" w:tplc="301E7BEC">
      <w:start w:val="1"/>
      <w:numFmt w:val="bullet"/>
      <w:lvlText w:val="•"/>
      <w:lvlJc w:val="left"/>
      <w:pPr>
        <w:tabs>
          <w:tab w:val="num" w:pos="720"/>
        </w:tabs>
        <w:ind w:left="720" w:hanging="360"/>
      </w:pPr>
      <w:rPr>
        <w:rFonts w:ascii="Arial" w:hAnsi="Arial" w:hint="default"/>
      </w:rPr>
    </w:lvl>
    <w:lvl w:ilvl="1" w:tplc="97621042" w:tentative="1">
      <w:start w:val="1"/>
      <w:numFmt w:val="bullet"/>
      <w:lvlText w:val="•"/>
      <w:lvlJc w:val="left"/>
      <w:pPr>
        <w:tabs>
          <w:tab w:val="num" w:pos="1440"/>
        </w:tabs>
        <w:ind w:left="1440" w:hanging="360"/>
      </w:pPr>
      <w:rPr>
        <w:rFonts w:ascii="Arial" w:hAnsi="Arial" w:hint="default"/>
      </w:rPr>
    </w:lvl>
    <w:lvl w:ilvl="2" w:tplc="0EAAEAA4" w:tentative="1">
      <w:start w:val="1"/>
      <w:numFmt w:val="bullet"/>
      <w:lvlText w:val="•"/>
      <w:lvlJc w:val="left"/>
      <w:pPr>
        <w:tabs>
          <w:tab w:val="num" w:pos="2160"/>
        </w:tabs>
        <w:ind w:left="2160" w:hanging="360"/>
      </w:pPr>
      <w:rPr>
        <w:rFonts w:ascii="Arial" w:hAnsi="Arial" w:hint="default"/>
      </w:rPr>
    </w:lvl>
    <w:lvl w:ilvl="3" w:tplc="1E18034C" w:tentative="1">
      <w:start w:val="1"/>
      <w:numFmt w:val="bullet"/>
      <w:lvlText w:val="•"/>
      <w:lvlJc w:val="left"/>
      <w:pPr>
        <w:tabs>
          <w:tab w:val="num" w:pos="2880"/>
        </w:tabs>
        <w:ind w:left="2880" w:hanging="360"/>
      </w:pPr>
      <w:rPr>
        <w:rFonts w:ascii="Arial" w:hAnsi="Arial" w:hint="default"/>
      </w:rPr>
    </w:lvl>
    <w:lvl w:ilvl="4" w:tplc="BFE2F5AA" w:tentative="1">
      <w:start w:val="1"/>
      <w:numFmt w:val="bullet"/>
      <w:lvlText w:val="•"/>
      <w:lvlJc w:val="left"/>
      <w:pPr>
        <w:tabs>
          <w:tab w:val="num" w:pos="3600"/>
        </w:tabs>
        <w:ind w:left="3600" w:hanging="360"/>
      </w:pPr>
      <w:rPr>
        <w:rFonts w:ascii="Arial" w:hAnsi="Arial" w:hint="default"/>
      </w:rPr>
    </w:lvl>
    <w:lvl w:ilvl="5" w:tplc="24B49910" w:tentative="1">
      <w:start w:val="1"/>
      <w:numFmt w:val="bullet"/>
      <w:lvlText w:val="•"/>
      <w:lvlJc w:val="left"/>
      <w:pPr>
        <w:tabs>
          <w:tab w:val="num" w:pos="4320"/>
        </w:tabs>
        <w:ind w:left="4320" w:hanging="360"/>
      </w:pPr>
      <w:rPr>
        <w:rFonts w:ascii="Arial" w:hAnsi="Arial" w:hint="default"/>
      </w:rPr>
    </w:lvl>
    <w:lvl w:ilvl="6" w:tplc="7464A48A" w:tentative="1">
      <w:start w:val="1"/>
      <w:numFmt w:val="bullet"/>
      <w:lvlText w:val="•"/>
      <w:lvlJc w:val="left"/>
      <w:pPr>
        <w:tabs>
          <w:tab w:val="num" w:pos="5040"/>
        </w:tabs>
        <w:ind w:left="5040" w:hanging="360"/>
      </w:pPr>
      <w:rPr>
        <w:rFonts w:ascii="Arial" w:hAnsi="Arial" w:hint="default"/>
      </w:rPr>
    </w:lvl>
    <w:lvl w:ilvl="7" w:tplc="B64E61AC" w:tentative="1">
      <w:start w:val="1"/>
      <w:numFmt w:val="bullet"/>
      <w:lvlText w:val="•"/>
      <w:lvlJc w:val="left"/>
      <w:pPr>
        <w:tabs>
          <w:tab w:val="num" w:pos="5760"/>
        </w:tabs>
        <w:ind w:left="5760" w:hanging="360"/>
      </w:pPr>
      <w:rPr>
        <w:rFonts w:ascii="Arial" w:hAnsi="Arial" w:hint="default"/>
      </w:rPr>
    </w:lvl>
    <w:lvl w:ilvl="8" w:tplc="6834054C" w:tentative="1">
      <w:start w:val="1"/>
      <w:numFmt w:val="bullet"/>
      <w:lvlText w:val="•"/>
      <w:lvlJc w:val="left"/>
      <w:pPr>
        <w:tabs>
          <w:tab w:val="num" w:pos="6480"/>
        </w:tabs>
        <w:ind w:left="6480" w:hanging="360"/>
      </w:pPr>
      <w:rPr>
        <w:rFonts w:ascii="Arial" w:hAnsi="Arial" w:hint="default"/>
      </w:rPr>
    </w:lvl>
  </w:abstractNum>
  <w:abstractNum w:abstractNumId="15">
    <w:nsid w:val="53A2341F"/>
    <w:multiLevelType w:val="hybridMultilevel"/>
    <w:tmpl w:val="37D2E018"/>
    <w:lvl w:ilvl="0" w:tplc="7BAE68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4B271C"/>
    <w:multiLevelType w:val="hybridMultilevel"/>
    <w:tmpl w:val="CB2858F0"/>
    <w:lvl w:ilvl="0" w:tplc="271A64F6">
      <w:start w:val="5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E678BC"/>
    <w:multiLevelType w:val="hybridMultilevel"/>
    <w:tmpl w:val="1FF8EA58"/>
    <w:lvl w:ilvl="0" w:tplc="DCA41D56">
      <w:start w:val="1"/>
      <w:numFmt w:val="bullet"/>
      <w:lvlText w:val="•"/>
      <w:lvlJc w:val="left"/>
      <w:pPr>
        <w:tabs>
          <w:tab w:val="num" w:pos="720"/>
        </w:tabs>
        <w:ind w:left="720" w:hanging="360"/>
      </w:pPr>
      <w:rPr>
        <w:rFonts w:ascii="Arial" w:hAnsi="Arial" w:hint="default"/>
      </w:rPr>
    </w:lvl>
    <w:lvl w:ilvl="1" w:tplc="BBB22150" w:tentative="1">
      <w:start w:val="1"/>
      <w:numFmt w:val="bullet"/>
      <w:lvlText w:val="•"/>
      <w:lvlJc w:val="left"/>
      <w:pPr>
        <w:tabs>
          <w:tab w:val="num" w:pos="1440"/>
        </w:tabs>
        <w:ind w:left="1440" w:hanging="360"/>
      </w:pPr>
      <w:rPr>
        <w:rFonts w:ascii="Arial" w:hAnsi="Arial" w:hint="default"/>
      </w:rPr>
    </w:lvl>
    <w:lvl w:ilvl="2" w:tplc="7A78A8AA" w:tentative="1">
      <w:start w:val="1"/>
      <w:numFmt w:val="bullet"/>
      <w:lvlText w:val="•"/>
      <w:lvlJc w:val="left"/>
      <w:pPr>
        <w:tabs>
          <w:tab w:val="num" w:pos="2160"/>
        </w:tabs>
        <w:ind w:left="2160" w:hanging="360"/>
      </w:pPr>
      <w:rPr>
        <w:rFonts w:ascii="Arial" w:hAnsi="Arial" w:hint="default"/>
      </w:rPr>
    </w:lvl>
    <w:lvl w:ilvl="3" w:tplc="31D06EB0" w:tentative="1">
      <w:start w:val="1"/>
      <w:numFmt w:val="bullet"/>
      <w:lvlText w:val="•"/>
      <w:lvlJc w:val="left"/>
      <w:pPr>
        <w:tabs>
          <w:tab w:val="num" w:pos="2880"/>
        </w:tabs>
        <w:ind w:left="2880" w:hanging="360"/>
      </w:pPr>
      <w:rPr>
        <w:rFonts w:ascii="Arial" w:hAnsi="Arial" w:hint="default"/>
      </w:rPr>
    </w:lvl>
    <w:lvl w:ilvl="4" w:tplc="CFFA60A4" w:tentative="1">
      <w:start w:val="1"/>
      <w:numFmt w:val="bullet"/>
      <w:lvlText w:val="•"/>
      <w:lvlJc w:val="left"/>
      <w:pPr>
        <w:tabs>
          <w:tab w:val="num" w:pos="3600"/>
        </w:tabs>
        <w:ind w:left="3600" w:hanging="360"/>
      </w:pPr>
      <w:rPr>
        <w:rFonts w:ascii="Arial" w:hAnsi="Arial" w:hint="default"/>
      </w:rPr>
    </w:lvl>
    <w:lvl w:ilvl="5" w:tplc="E04A340A" w:tentative="1">
      <w:start w:val="1"/>
      <w:numFmt w:val="bullet"/>
      <w:lvlText w:val="•"/>
      <w:lvlJc w:val="left"/>
      <w:pPr>
        <w:tabs>
          <w:tab w:val="num" w:pos="4320"/>
        </w:tabs>
        <w:ind w:left="4320" w:hanging="360"/>
      </w:pPr>
      <w:rPr>
        <w:rFonts w:ascii="Arial" w:hAnsi="Arial" w:hint="default"/>
      </w:rPr>
    </w:lvl>
    <w:lvl w:ilvl="6" w:tplc="DC460F94" w:tentative="1">
      <w:start w:val="1"/>
      <w:numFmt w:val="bullet"/>
      <w:lvlText w:val="•"/>
      <w:lvlJc w:val="left"/>
      <w:pPr>
        <w:tabs>
          <w:tab w:val="num" w:pos="5040"/>
        </w:tabs>
        <w:ind w:left="5040" w:hanging="360"/>
      </w:pPr>
      <w:rPr>
        <w:rFonts w:ascii="Arial" w:hAnsi="Arial" w:hint="default"/>
      </w:rPr>
    </w:lvl>
    <w:lvl w:ilvl="7" w:tplc="ED20686E" w:tentative="1">
      <w:start w:val="1"/>
      <w:numFmt w:val="bullet"/>
      <w:lvlText w:val="•"/>
      <w:lvlJc w:val="left"/>
      <w:pPr>
        <w:tabs>
          <w:tab w:val="num" w:pos="5760"/>
        </w:tabs>
        <w:ind w:left="5760" w:hanging="360"/>
      </w:pPr>
      <w:rPr>
        <w:rFonts w:ascii="Arial" w:hAnsi="Arial" w:hint="default"/>
      </w:rPr>
    </w:lvl>
    <w:lvl w:ilvl="8" w:tplc="A0BCFE98" w:tentative="1">
      <w:start w:val="1"/>
      <w:numFmt w:val="bullet"/>
      <w:lvlText w:val="•"/>
      <w:lvlJc w:val="left"/>
      <w:pPr>
        <w:tabs>
          <w:tab w:val="num" w:pos="6480"/>
        </w:tabs>
        <w:ind w:left="6480" w:hanging="360"/>
      </w:pPr>
      <w:rPr>
        <w:rFonts w:ascii="Arial" w:hAnsi="Arial" w:hint="default"/>
      </w:rPr>
    </w:lvl>
  </w:abstractNum>
  <w:abstractNum w:abstractNumId="18">
    <w:nsid w:val="668B394F"/>
    <w:multiLevelType w:val="hybridMultilevel"/>
    <w:tmpl w:val="AF4A429C"/>
    <w:lvl w:ilvl="0" w:tplc="E5FC92AE">
      <w:start w:val="1"/>
      <w:numFmt w:val="bullet"/>
      <w:lvlText w:val="•"/>
      <w:lvlJc w:val="left"/>
      <w:pPr>
        <w:tabs>
          <w:tab w:val="num" w:pos="720"/>
        </w:tabs>
        <w:ind w:left="720" w:hanging="360"/>
      </w:pPr>
      <w:rPr>
        <w:rFonts w:ascii="Arial" w:hAnsi="Arial" w:hint="default"/>
      </w:rPr>
    </w:lvl>
    <w:lvl w:ilvl="1" w:tplc="80B4DE86" w:tentative="1">
      <w:start w:val="1"/>
      <w:numFmt w:val="bullet"/>
      <w:lvlText w:val="•"/>
      <w:lvlJc w:val="left"/>
      <w:pPr>
        <w:tabs>
          <w:tab w:val="num" w:pos="1440"/>
        </w:tabs>
        <w:ind w:left="1440" w:hanging="360"/>
      </w:pPr>
      <w:rPr>
        <w:rFonts w:ascii="Arial" w:hAnsi="Arial" w:hint="default"/>
      </w:rPr>
    </w:lvl>
    <w:lvl w:ilvl="2" w:tplc="3F306F88" w:tentative="1">
      <w:start w:val="1"/>
      <w:numFmt w:val="bullet"/>
      <w:lvlText w:val="•"/>
      <w:lvlJc w:val="left"/>
      <w:pPr>
        <w:tabs>
          <w:tab w:val="num" w:pos="2160"/>
        </w:tabs>
        <w:ind w:left="2160" w:hanging="360"/>
      </w:pPr>
      <w:rPr>
        <w:rFonts w:ascii="Arial" w:hAnsi="Arial" w:hint="default"/>
      </w:rPr>
    </w:lvl>
    <w:lvl w:ilvl="3" w:tplc="32C4177E" w:tentative="1">
      <w:start w:val="1"/>
      <w:numFmt w:val="bullet"/>
      <w:lvlText w:val="•"/>
      <w:lvlJc w:val="left"/>
      <w:pPr>
        <w:tabs>
          <w:tab w:val="num" w:pos="2880"/>
        </w:tabs>
        <w:ind w:left="2880" w:hanging="360"/>
      </w:pPr>
      <w:rPr>
        <w:rFonts w:ascii="Arial" w:hAnsi="Arial" w:hint="default"/>
      </w:rPr>
    </w:lvl>
    <w:lvl w:ilvl="4" w:tplc="87D8CE0E" w:tentative="1">
      <w:start w:val="1"/>
      <w:numFmt w:val="bullet"/>
      <w:lvlText w:val="•"/>
      <w:lvlJc w:val="left"/>
      <w:pPr>
        <w:tabs>
          <w:tab w:val="num" w:pos="3600"/>
        </w:tabs>
        <w:ind w:left="3600" w:hanging="360"/>
      </w:pPr>
      <w:rPr>
        <w:rFonts w:ascii="Arial" w:hAnsi="Arial" w:hint="default"/>
      </w:rPr>
    </w:lvl>
    <w:lvl w:ilvl="5" w:tplc="7B28440C" w:tentative="1">
      <w:start w:val="1"/>
      <w:numFmt w:val="bullet"/>
      <w:lvlText w:val="•"/>
      <w:lvlJc w:val="left"/>
      <w:pPr>
        <w:tabs>
          <w:tab w:val="num" w:pos="4320"/>
        </w:tabs>
        <w:ind w:left="4320" w:hanging="360"/>
      </w:pPr>
      <w:rPr>
        <w:rFonts w:ascii="Arial" w:hAnsi="Arial" w:hint="default"/>
      </w:rPr>
    </w:lvl>
    <w:lvl w:ilvl="6" w:tplc="DA3E1654" w:tentative="1">
      <w:start w:val="1"/>
      <w:numFmt w:val="bullet"/>
      <w:lvlText w:val="•"/>
      <w:lvlJc w:val="left"/>
      <w:pPr>
        <w:tabs>
          <w:tab w:val="num" w:pos="5040"/>
        </w:tabs>
        <w:ind w:left="5040" w:hanging="360"/>
      </w:pPr>
      <w:rPr>
        <w:rFonts w:ascii="Arial" w:hAnsi="Arial" w:hint="default"/>
      </w:rPr>
    </w:lvl>
    <w:lvl w:ilvl="7" w:tplc="12744FE0" w:tentative="1">
      <w:start w:val="1"/>
      <w:numFmt w:val="bullet"/>
      <w:lvlText w:val="•"/>
      <w:lvlJc w:val="left"/>
      <w:pPr>
        <w:tabs>
          <w:tab w:val="num" w:pos="5760"/>
        </w:tabs>
        <w:ind w:left="5760" w:hanging="360"/>
      </w:pPr>
      <w:rPr>
        <w:rFonts w:ascii="Arial" w:hAnsi="Arial" w:hint="default"/>
      </w:rPr>
    </w:lvl>
    <w:lvl w:ilvl="8" w:tplc="DEEA6EBC" w:tentative="1">
      <w:start w:val="1"/>
      <w:numFmt w:val="bullet"/>
      <w:lvlText w:val="•"/>
      <w:lvlJc w:val="left"/>
      <w:pPr>
        <w:tabs>
          <w:tab w:val="num" w:pos="6480"/>
        </w:tabs>
        <w:ind w:left="6480" w:hanging="360"/>
      </w:pPr>
      <w:rPr>
        <w:rFonts w:ascii="Arial" w:hAnsi="Arial" w:hint="default"/>
      </w:rPr>
    </w:lvl>
  </w:abstractNum>
  <w:abstractNum w:abstractNumId="19">
    <w:nsid w:val="72532B8A"/>
    <w:multiLevelType w:val="hybridMultilevel"/>
    <w:tmpl w:val="51963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220C8"/>
    <w:multiLevelType w:val="hybridMultilevel"/>
    <w:tmpl w:val="9408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153D13"/>
    <w:multiLevelType w:val="hybridMultilevel"/>
    <w:tmpl w:val="3F502F6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75F3D66"/>
    <w:multiLevelType w:val="hybridMultilevel"/>
    <w:tmpl w:val="26A6142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8D14D66"/>
    <w:multiLevelType w:val="hybridMultilevel"/>
    <w:tmpl w:val="FF08A466"/>
    <w:lvl w:ilvl="0" w:tplc="57966CEA">
      <w:start w:val="1"/>
      <w:numFmt w:val="bullet"/>
      <w:lvlText w:val="•"/>
      <w:lvlJc w:val="left"/>
      <w:pPr>
        <w:tabs>
          <w:tab w:val="num" w:pos="720"/>
        </w:tabs>
        <w:ind w:left="720" w:hanging="360"/>
      </w:pPr>
      <w:rPr>
        <w:rFonts w:ascii="Arial" w:hAnsi="Arial" w:hint="default"/>
      </w:rPr>
    </w:lvl>
    <w:lvl w:ilvl="1" w:tplc="EC3AF01E" w:tentative="1">
      <w:start w:val="1"/>
      <w:numFmt w:val="bullet"/>
      <w:lvlText w:val="•"/>
      <w:lvlJc w:val="left"/>
      <w:pPr>
        <w:tabs>
          <w:tab w:val="num" w:pos="1440"/>
        </w:tabs>
        <w:ind w:left="1440" w:hanging="360"/>
      </w:pPr>
      <w:rPr>
        <w:rFonts w:ascii="Arial" w:hAnsi="Arial" w:hint="default"/>
      </w:rPr>
    </w:lvl>
    <w:lvl w:ilvl="2" w:tplc="74100828" w:tentative="1">
      <w:start w:val="1"/>
      <w:numFmt w:val="bullet"/>
      <w:lvlText w:val="•"/>
      <w:lvlJc w:val="left"/>
      <w:pPr>
        <w:tabs>
          <w:tab w:val="num" w:pos="2160"/>
        </w:tabs>
        <w:ind w:left="2160" w:hanging="360"/>
      </w:pPr>
      <w:rPr>
        <w:rFonts w:ascii="Arial" w:hAnsi="Arial" w:hint="default"/>
      </w:rPr>
    </w:lvl>
    <w:lvl w:ilvl="3" w:tplc="47BA2302" w:tentative="1">
      <w:start w:val="1"/>
      <w:numFmt w:val="bullet"/>
      <w:lvlText w:val="•"/>
      <w:lvlJc w:val="left"/>
      <w:pPr>
        <w:tabs>
          <w:tab w:val="num" w:pos="2880"/>
        </w:tabs>
        <w:ind w:left="2880" w:hanging="360"/>
      </w:pPr>
      <w:rPr>
        <w:rFonts w:ascii="Arial" w:hAnsi="Arial" w:hint="default"/>
      </w:rPr>
    </w:lvl>
    <w:lvl w:ilvl="4" w:tplc="6C1ABBB4" w:tentative="1">
      <w:start w:val="1"/>
      <w:numFmt w:val="bullet"/>
      <w:lvlText w:val="•"/>
      <w:lvlJc w:val="left"/>
      <w:pPr>
        <w:tabs>
          <w:tab w:val="num" w:pos="3600"/>
        </w:tabs>
        <w:ind w:left="3600" w:hanging="360"/>
      </w:pPr>
      <w:rPr>
        <w:rFonts w:ascii="Arial" w:hAnsi="Arial" w:hint="default"/>
      </w:rPr>
    </w:lvl>
    <w:lvl w:ilvl="5" w:tplc="8E1AF226" w:tentative="1">
      <w:start w:val="1"/>
      <w:numFmt w:val="bullet"/>
      <w:lvlText w:val="•"/>
      <w:lvlJc w:val="left"/>
      <w:pPr>
        <w:tabs>
          <w:tab w:val="num" w:pos="4320"/>
        </w:tabs>
        <w:ind w:left="4320" w:hanging="360"/>
      </w:pPr>
      <w:rPr>
        <w:rFonts w:ascii="Arial" w:hAnsi="Arial" w:hint="default"/>
      </w:rPr>
    </w:lvl>
    <w:lvl w:ilvl="6" w:tplc="2F264864" w:tentative="1">
      <w:start w:val="1"/>
      <w:numFmt w:val="bullet"/>
      <w:lvlText w:val="•"/>
      <w:lvlJc w:val="left"/>
      <w:pPr>
        <w:tabs>
          <w:tab w:val="num" w:pos="5040"/>
        </w:tabs>
        <w:ind w:left="5040" w:hanging="360"/>
      </w:pPr>
      <w:rPr>
        <w:rFonts w:ascii="Arial" w:hAnsi="Arial" w:hint="default"/>
      </w:rPr>
    </w:lvl>
    <w:lvl w:ilvl="7" w:tplc="8012A96C" w:tentative="1">
      <w:start w:val="1"/>
      <w:numFmt w:val="bullet"/>
      <w:lvlText w:val="•"/>
      <w:lvlJc w:val="left"/>
      <w:pPr>
        <w:tabs>
          <w:tab w:val="num" w:pos="5760"/>
        </w:tabs>
        <w:ind w:left="5760" w:hanging="360"/>
      </w:pPr>
      <w:rPr>
        <w:rFonts w:ascii="Arial" w:hAnsi="Arial" w:hint="default"/>
      </w:rPr>
    </w:lvl>
    <w:lvl w:ilvl="8" w:tplc="386E2B4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0"/>
  </w:num>
  <w:num w:numId="3">
    <w:abstractNumId w:val="11"/>
  </w:num>
  <w:num w:numId="4">
    <w:abstractNumId w:val="12"/>
  </w:num>
  <w:num w:numId="5">
    <w:abstractNumId w:val="19"/>
  </w:num>
  <w:num w:numId="6">
    <w:abstractNumId w:val="7"/>
  </w:num>
  <w:num w:numId="7">
    <w:abstractNumId w:val="8"/>
  </w:num>
  <w:num w:numId="8">
    <w:abstractNumId w:val="2"/>
  </w:num>
  <w:num w:numId="9">
    <w:abstractNumId w:val="5"/>
  </w:num>
  <w:num w:numId="10">
    <w:abstractNumId w:val="17"/>
  </w:num>
  <w:num w:numId="11">
    <w:abstractNumId w:val="23"/>
  </w:num>
  <w:num w:numId="12">
    <w:abstractNumId w:val="14"/>
  </w:num>
  <w:num w:numId="13">
    <w:abstractNumId w:val="18"/>
  </w:num>
  <w:num w:numId="14">
    <w:abstractNumId w:val="0"/>
  </w:num>
  <w:num w:numId="15">
    <w:abstractNumId w:val="15"/>
  </w:num>
  <w:num w:numId="16">
    <w:abstractNumId w:val="9"/>
  </w:num>
  <w:num w:numId="17">
    <w:abstractNumId w:val="4"/>
  </w:num>
  <w:num w:numId="18">
    <w:abstractNumId w:val="6"/>
  </w:num>
  <w:num w:numId="19">
    <w:abstractNumId w:val="21"/>
  </w:num>
  <w:num w:numId="20">
    <w:abstractNumId w:val="3"/>
  </w:num>
  <w:num w:numId="21">
    <w:abstractNumId w:val="1"/>
  </w:num>
  <w:num w:numId="22">
    <w:abstractNumId w:val="16"/>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2F"/>
    <w:rsid w:val="00136472"/>
    <w:rsid w:val="00291938"/>
    <w:rsid w:val="003471D1"/>
    <w:rsid w:val="005C2175"/>
    <w:rsid w:val="009E13A6"/>
    <w:rsid w:val="00A16CE2"/>
    <w:rsid w:val="00A86D8A"/>
    <w:rsid w:val="00AC48EC"/>
    <w:rsid w:val="00D462F3"/>
    <w:rsid w:val="00D90652"/>
    <w:rsid w:val="00DD502F"/>
    <w:rsid w:val="00E041C6"/>
    <w:rsid w:val="00FA0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A5D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02F"/>
    <w:pPr>
      <w:ind w:left="720"/>
      <w:contextualSpacing/>
    </w:pPr>
  </w:style>
  <w:style w:type="paragraph" w:customStyle="1" w:styleId="normal0">
    <w:name w:val="normal"/>
    <w:rsid w:val="00D90652"/>
    <w:pPr>
      <w:pBdr>
        <w:top w:val="nil"/>
        <w:left w:val="nil"/>
        <w:bottom w:val="nil"/>
        <w:right w:val="nil"/>
        <w:between w:val="nil"/>
      </w:pBdr>
      <w:spacing w:line="276" w:lineRule="auto"/>
    </w:pPr>
    <w:rPr>
      <w:rFonts w:ascii="Arial" w:eastAsia="Arial" w:hAnsi="Arial" w:cs="Arial"/>
      <w:color w:val="000000"/>
      <w:sz w:val="22"/>
      <w:szCs w:val="22"/>
      <w:lang w:val="uz-Cyrl-UZ"/>
    </w:rPr>
  </w:style>
  <w:style w:type="character" w:styleId="Hyperlink">
    <w:name w:val="Hyperlink"/>
    <w:basedOn w:val="DefaultParagraphFont"/>
    <w:uiPriority w:val="99"/>
    <w:unhideWhenUsed/>
    <w:rsid w:val="00D90652"/>
    <w:rPr>
      <w:color w:val="0000FF" w:themeColor="hyperlink"/>
      <w:u w:val="single"/>
    </w:rPr>
  </w:style>
  <w:style w:type="paragraph" w:styleId="BalloonText">
    <w:name w:val="Balloon Text"/>
    <w:basedOn w:val="Normal"/>
    <w:link w:val="BalloonTextChar"/>
    <w:uiPriority w:val="99"/>
    <w:semiHidden/>
    <w:unhideWhenUsed/>
    <w:rsid w:val="00A16C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CE2"/>
    <w:rPr>
      <w:rFonts w:ascii="Lucida Grande" w:hAnsi="Lucida Grande" w:cs="Lucida Grande"/>
      <w:sz w:val="18"/>
      <w:szCs w:val="18"/>
    </w:rPr>
  </w:style>
  <w:style w:type="paragraph" w:styleId="NormalWeb">
    <w:name w:val="Normal (Web)"/>
    <w:basedOn w:val="Normal"/>
    <w:uiPriority w:val="99"/>
    <w:unhideWhenUsed/>
    <w:rsid w:val="00AC48E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C48EC"/>
    <w:pPr>
      <w:tabs>
        <w:tab w:val="center" w:pos="4320"/>
        <w:tab w:val="right" w:pos="8640"/>
      </w:tabs>
    </w:pPr>
  </w:style>
  <w:style w:type="character" w:customStyle="1" w:styleId="HeaderChar">
    <w:name w:val="Header Char"/>
    <w:basedOn w:val="DefaultParagraphFont"/>
    <w:link w:val="Header"/>
    <w:uiPriority w:val="99"/>
    <w:rsid w:val="00AC48EC"/>
  </w:style>
  <w:style w:type="paragraph" w:styleId="Footer">
    <w:name w:val="footer"/>
    <w:basedOn w:val="Normal"/>
    <w:link w:val="FooterChar"/>
    <w:uiPriority w:val="99"/>
    <w:unhideWhenUsed/>
    <w:rsid w:val="00AC48EC"/>
    <w:pPr>
      <w:tabs>
        <w:tab w:val="center" w:pos="4320"/>
        <w:tab w:val="right" w:pos="8640"/>
      </w:tabs>
    </w:pPr>
  </w:style>
  <w:style w:type="character" w:customStyle="1" w:styleId="FooterChar">
    <w:name w:val="Footer Char"/>
    <w:basedOn w:val="DefaultParagraphFont"/>
    <w:link w:val="Footer"/>
    <w:uiPriority w:val="99"/>
    <w:rsid w:val="00AC48EC"/>
  </w:style>
  <w:style w:type="paragraph" w:styleId="FootnoteText">
    <w:name w:val="footnote text"/>
    <w:basedOn w:val="Normal"/>
    <w:link w:val="FootnoteTextChar"/>
    <w:uiPriority w:val="99"/>
    <w:unhideWhenUsed/>
    <w:rsid w:val="00291938"/>
  </w:style>
  <w:style w:type="character" w:customStyle="1" w:styleId="FootnoteTextChar">
    <w:name w:val="Footnote Text Char"/>
    <w:basedOn w:val="DefaultParagraphFont"/>
    <w:link w:val="FootnoteText"/>
    <w:uiPriority w:val="99"/>
    <w:rsid w:val="00291938"/>
  </w:style>
  <w:style w:type="character" w:styleId="FootnoteReference">
    <w:name w:val="footnote reference"/>
    <w:basedOn w:val="DefaultParagraphFont"/>
    <w:uiPriority w:val="99"/>
    <w:unhideWhenUsed/>
    <w:rsid w:val="0029193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02F"/>
    <w:pPr>
      <w:ind w:left="720"/>
      <w:contextualSpacing/>
    </w:pPr>
  </w:style>
  <w:style w:type="paragraph" w:customStyle="1" w:styleId="normal0">
    <w:name w:val="normal"/>
    <w:rsid w:val="00D90652"/>
    <w:pPr>
      <w:pBdr>
        <w:top w:val="nil"/>
        <w:left w:val="nil"/>
        <w:bottom w:val="nil"/>
        <w:right w:val="nil"/>
        <w:between w:val="nil"/>
      </w:pBdr>
      <w:spacing w:line="276" w:lineRule="auto"/>
    </w:pPr>
    <w:rPr>
      <w:rFonts w:ascii="Arial" w:eastAsia="Arial" w:hAnsi="Arial" w:cs="Arial"/>
      <w:color w:val="000000"/>
      <w:sz w:val="22"/>
      <w:szCs w:val="22"/>
      <w:lang w:val="uz-Cyrl-UZ"/>
    </w:rPr>
  </w:style>
  <w:style w:type="character" w:styleId="Hyperlink">
    <w:name w:val="Hyperlink"/>
    <w:basedOn w:val="DefaultParagraphFont"/>
    <w:uiPriority w:val="99"/>
    <w:unhideWhenUsed/>
    <w:rsid w:val="00D90652"/>
    <w:rPr>
      <w:color w:val="0000FF" w:themeColor="hyperlink"/>
      <w:u w:val="single"/>
    </w:rPr>
  </w:style>
  <w:style w:type="paragraph" w:styleId="BalloonText">
    <w:name w:val="Balloon Text"/>
    <w:basedOn w:val="Normal"/>
    <w:link w:val="BalloonTextChar"/>
    <w:uiPriority w:val="99"/>
    <w:semiHidden/>
    <w:unhideWhenUsed/>
    <w:rsid w:val="00A16C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CE2"/>
    <w:rPr>
      <w:rFonts w:ascii="Lucida Grande" w:hAnsi="Lucida Grande" w:cs="Lucida Grande"/>
      <w:sz w:val="18"/>
      <w:szCs w:val="18"/>
    </w:rPr>
  </w:style>
  <w:style w:type="paragraph" w:styleId="NormalWeb">
    <w:name w:val="Normal (Web)"/>
    <w:basedOn w:val="Normal"/>
    <w:uiPriority w:val="99"/>
    <w:unhideWhenUsed/>
    <w:rsid w:val="00AC48E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C48EC"/>
    <w:pPr>
      <w:tabs>
        <w:tab w:val="center" w:pos="4320"/>
        <w:tab w:val="right" w:pos="8640"/>
      </w:tabs>
    </w:pPr>
  </w:style>
  <w:style w:type="character" w:customStyle="1" w:styleId="HeaderChar">
    <w:name w:val="Header Char"/>
    <w:basedOn w:val="DefaultParagraphFont"/>
    <w:link w:val="Header"/>
    <w:uiPriority w:val="99"/>
    <w:rsid w:val="00AC48EC"/>
  </w:style>
  <w:style w:type="paragraph" w:styleId="Footer">
    <w:name w:val="footer"/>
    <w:basedOn w:val="Normal"/>
    <w:link w:val="FooterChar"/>
    <w:uiPriority w:val="99"/>
    <w:unhideWhenUsed/>
    <w:rsid w:val="00AC48EC"/>
    <w:pPr>
      <w:tabs>
        <w:tab w:val="center" w:pos="4320"/>
        <w:tab w:val="right" w:pos="8640"/>
      </w:tabs>
    </w:pPr>
  </w:style>
  <w:style w:type="character" w:customStyle="1" w:styleId="FooterChar">
    <w:name w:val="Footer Char"/>
    <w:basedOn w:val="DefaultParagraphFont"/>
    <w:link w:val="Footer"/>
    <w:uiPriority w:val="99"/>
    <w:rsid w:val="00AC48EC"/>
  </w:style>
  <w:style w:type="paragraph" w:styleId="FootnoteText">
    <w:name w:val="footnote text"/>
    <w:basedOn w:val="Normal"/>
    <w:link w:val="FootnoteTextChar"/>
    <w:uiPriority w:val="99"/>
    <w:unhideWhenUsed/>
    <w:rsid w:val="00291938"/>
  </w:style>
  <w:style w:type="character" w:customStyle="1" w:styleId="FootnoteTextChar">
    <w:name w:val="Footnote Text Char"/>
    <w:basedOn w:val="DefaultParagraphFont"/>
    <w:link w:val="FootnoteText"/>
    <w:uiPriority w:val="99"/>
    <w:rsid w:val="00291938"/>
  </w:style>
  <w:style w:type="character" w:styleId="FootnoteReference">
    <w:name w:val="footnote reference"/>
    <w:basedOn w:val="DefaultParagraphFont"/>
    <w:uiPriority w:val="99"/>
    <w:unhideWhenUsed/>
    <w:rsid w:val="002919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6515">
      <w:bodyDiv w:val="1"/>
      <w:marLeft w:val="0"/>
      <w:marRight w:val="0"/>
      <w:marTop w:val="0"/>
      <w:marBottom w:val="0"/>
      <w:divBdr>
        <w:top w:val="none" w:sz="0" w:space="0" w:color="auto"/>
        <w:left w:val="none" w:sz="0" w:space="0" w:color="auto"/>
        <w:bottom w:val="none" w:sz="0" w:space="0" w:color="auto"/>
        <w:right w:val="none" w:sz="0" w:space="0" w:color="auto"/>
      </w:divBdr>
      <w:divsChild>
        <w:div w:id="1164977681">
          <w:marLeft w:val="360"/>
          <w:marRight w:val="0"/>
          <w:marTop w:val="200"/>
          <w:marBottom w:val="0"/>
          <w:divBdr>
            <w:top w:val="none" w:sz="0" w:space="0" w:color="auto"/>
            <w:left w:val="none" w:sz="0" w:space="0" w:color="auto"/>
            <w:bottom w:val="none" w:sz="0" w:space="0" w:color="auto"/>
            <w:right w:val="none" w:sz="0" w:space="0" w:color="auto"/>
          </w:divBdr>
        </w:div>
        <w:div w:id="1887057242">
          <w:marLeft w:val="360"/>
          <w:marRight w:val="0"/>
          <w:marTop w:val="200"/>
          <w:marBottom w:val="0"/>
          <w:divBdr>
            <w:top w:val="none" w:sz="0" w:space="0" w:color="auto"/>
            <w:left w:val="none" w:sz="0" w:space="0" w:color="auto"/>
            <w:bottom w:val="none" w:sz="0" w:space="0" w:color="auto"/>
            <w:right w:val="none" w:sz="0" w:space="0" w:color="auto"/>
          </w:divBdr>
        </w:div>
        <w:div w:id="1461142982">
          <w:marLeft w:val="360"/>
          <w:marRight w:val="0"/>
          <w:marTop w:val="200"/>
          <w:marBottom w:val="0"/>
          <w:divBdr>
            <w:top w:val="none" w:sz="0" w:space="0" w:color="auto"/>
            <w:left w:val="none" w:sz="0" w:space="0" w:color="auto"/>
            <w:bottom w:val="none" w:sz="0" w:space="0" w:color="auto"/>
            <w:right w:val="none" w:sz="0" w:space="0" w:color="auto"/>
          </w:divBdr>
        </w:div>
        <w:div w:id="896013303">
          <w:marLeft w:val="360"/>
          <w:marRight w:val="0"/>
          <w:marTop w:val="200"/>
          <w:marBottom w:val="0"/>
          <w:divBdr>
            <w:top w:val="none" w:sz="0" w:space="0" w:color="auto"/>
            <w:left w:val="none" w:sz="0" w:space="0" w:color="auto"/>
            <w:bottom w:val="none" w:sz="0" w:space="0" w:color="auto"/>
            <w:right w:val="none" w:sz="0" w:space="0" w:color="auto"/>
          </w:divBdr>
        </w:div>
        <w:div w:id="141889083">
          <w:marLeft w:val="360"/>
          <w:marRight w:val="0"/>
          <w:marTop w:val="200"/>
          <w:marBottom w:val="0"/>
          <w:divBdr>
            <w:top w:val="none" w:sz="0" w:space="0" w:color="auto"/>
            <w:left w:val="none" w:sz="0" w:space="0" w:color="auto"/>
            <w:bottom w:val="none" w:sz="0" w:space="0" w:color="auto"/>
            <w:right w:val="none" w:sz="0" w:space="0" w:color="auto"/>
          </w:divBdr>
        </w:div>
        <w:div w:id="1698113775">
          <w:marLeft w:val="360"/>
          <w:marRight w:val="0"/>
          <w:marTop w:val="200"/>
          <w:marBottom w:val="0"/>
          <w:divBdr>
            <w:top w:val="none" w:sz="0" w:space="0" w:color="auto"/>
            <w:left w:val="none" w:sz="0" w:space="0" w:color="auto"/>
            <w:bottom w:val="none" w:sz="0" w:space="0" w:color="auto"/>
            <w:right w:val="none" w:sz="0" w:space="0" w:color="auto"/>
          </w:divBdr>
        </w:div>
        <w:div w:id="721945213">
          <w:marLeft w:val="360"/>
          <w:marRight w:val="0"/>
          <w:marTop w:val="200"/>
          <w:marBottom w:val="0"/>
          <w:divBdr>
            <w:top w:val="none" w:sz="0" w:space="0" w:color="auto"/>
            <w:left w:val="none" w:sz="0" w:space="0" w:color="auto"/>
            <w:bottom w:val="none" w:sz="0" w:space="0" w:color="auto"/>
            <w:right w:val="none" w:sz="0" w:space="0" w:color="auto"/>
          </w:divBdr>
        </w:div>
      </w:divsChild>
    </w:div>
    <w:div w:id="441002947">
      <w:bodyDiv w:val="1"/>
      <w:marLeft w:val="0"/>
      <w:marRight w:val="0"/>
      <w:marTop w:val="0"/>
      <w:marBottom w:val="0"/>
      <w:divBdr>
        <w:top w:val="none" w:sz="0" w:space="0" w:color="auto"/>
        <w:left w:val="none" w:sz="0" w:space="0" w:color="auto"/>
        <w:bottom w:val="none" w:sz="0" w:space="0" w:color="auto"/>
        <w:right w:val="none" w:sz="0" w:space="0" w:color="auto"/>
      </w:divBdr>
      <w:divsChild>
        <w:div w:id="1119879541">
          <w:marLeft w:val="360"/>
          <w:marRight w:val="0"/>
          <w:marTop w:val="200"/>
          <w:marBottom w:val="0"/>
          <w:divBdr>
            <w:top w:val="none" w:sz="0" w:space="0" w:color="auto"/>
            <w:left w:val="none" w:sz="0" w:space="0" w:color="auto"/>
            <w:bottom w:val="none" w:sz="0" w:space="0" w:color="auto"/>
            <w:right w:val="none" w:sz="0" w:space="0" w:color="auto"/>
          </w:divBdr>
        </w:div>
        <w:div w:id="1776827120">
          <w:marLeft w:val="360"/>
          <w:marRight w:val="0"/>
          <w:marTop w:val="200"/>
          <w:marBottom w:val="0"/>
          <w:divBdr>
            <w:top w:val="none" w:sz="0" w:space="0" w:color="auto"/>
            <w:left w:val="none" w:sz="0" w:space="0" w:color="auto"/>
            <w:bottom w:val="none" w:sz="0" w:space="0" w:color="auto"/>
            <w:right w:val="none" w:sz="0" w:space="0" w:color="auto"/>
          </w:divBdr>
        </w:div>
        <w:div w:id="30885343">
          <w:marLeft w:val="360"/>
          <w:marRight w:val="0"/>
          <w:marTop w:val="200"/>
          <w:marBottom w:val="0"/>
          <w:divBdr>
            <w:top w:val="none" w:sz="0" w:space="0" w:color="auto"/>
            <w:left w:val="none" w:sz="0" w:space="0" w:color="auto"/>
            <w:bottom w:val="none" w:sz="0" w:space="0" w:color="auto"/>
            <w:right w:val="none" w:sz="0" w:space="0" w:color="auto"/>
          </w:divBdr>
        </w:div>
        <w:div w:id="486868874">
          <w:marLeft w:val="360"/>
          <w:marRight w:val="0"/>
          <w:marTop w:val="200"/>
          <w:marBottom w:val="0"/>
          <w:divBdr>
            <w:top w:val="none" w:sz="0" w:space="0" w:color="auto"/>
            <w:left w:val="none" w:sz="0" w:space="0" w:color="auto"/>
            <w:bottom w:val="none" w:sz="0" w:space="0" w:color="auto"/>
            <w:right w:val="none" w:sz="0" w:space="0" w:color="auto"/>
          </w:divBdr>
        </w:div>
        <w:div w:id="359476287">
          <w:marLeft w:val="360"/>
          <w:marRight w:val="0"/>
          <w:marTop w:val="200"/>
          <w:marBottom w:val="0"/>
          <w:divBdr>
            <w:top w:val="none" w:sz="0" w:space="0" w:color="auto"/>
            <w:left w:val="none" w:sz="0" w:space="0" w:color="auto"/>
            <w:bottom w:val="none" w:sz="0" w:space="0" w:color="auto"/>
            <w:right w:val="none" w:sz="0" w:space="0" w:color="auto"/>
          </w:divBdr>
        </w:div>
        <w:div w:id="1461453757">
          <w:marLeft w:val="360"/>
          <w:marRight w:val="0"/>
          <w:marTop w:val="200"/>
          <w:marBottom w:val="0"/>
          <w:divBdr>
            <w:top w:val="none" w:sz="0" w:space="0" w:color="auto"/>
            <w:left w:val="none" w:sz="0" w:space="0" w:color="auto"/>
            <w:bottom w:val="none" w:sz="0" w:space="0" w:color="auto"/>
            <w:right w:val="none" w:sz="0" w:space="0" w:color="auto"/>
          </w:divBdr>
        </w:div>
        <w:div w:id="492717849">
          <w:marLeft w:val="360"/>
          <w:marRight w:val="0"/>
          <w:marTop w:val="200"/>
          <w:marBottom w:val="0"/>
          <w:divBdr>
            <w:top w:val="none" w:sz="0" w:space="0" w:color="auto"/>
            <w:left w:val="none" w:sz="0" w:space="0" w:color="auto"/>
            <w:bottom w:val="none" w:sz="0" w:space="0" w:color="auto"/>
            <w:right w:val="none" w:sz="0" w:space="0" w:color="auto"/>
          </w:divBdr>
        </w:div>
      </w:divsChild>
    </w:div>
    <w:div w:id="618797241">
      <w:bodyDiv w:val="1"/>
      <w:marLeft w:val="0"/>
      <w:marRight w:val="0"/>
      <w:marTop w:val="0"/>
      <w:marBottom w:val="0"/>
      <w:divBdr>
        <w:top w:val="none" w:sz="0" w:space="0" w:color="auto"/>
        <w:left w:val="none" w:sz="0" w:space="0" w:color="auto"/>
        <w:bottom w:val="none" w:sz="0" w:space="0" w:color="auto"/>
        <w:right w:val="none" w:sz="0" w:space="0" w:color="auto"/>
      </w:divBdr>
      <w:divsChild>
        <w:div w:id="1581711719">
          <w:marLeft w:val="1080"/>
          <w:marRight w:val="0"/>
          <w:marTop w:val="100"/>
          <w:marBottom w:val="0"/>
          <w:divBdr>
            <w:top w:val="none" w:sz="0" w:space="0" w:color="auto"/>
            <w:left w:val="none" w:sz="0" w:space="0" w:color="auto"/>
            <w:bottom w:val="none" w:sz="0" w:space="0" w:color="auto"/>
            <w:right w:val="none" w:sz="0" w:space="0" w:color="auto"/>
          </w:divBdr>
        </w:div>
        <w:div w:id="427626154">
          <w:marLeft w:val="1080"/>
          <w:marRight w:val="0"/>
          <w:marTop w:val="100"/>
          <w:marBottom w:val="0"/>
          <w:divBdr>
            <w:top w:val="none" w:sz="0" w:space="0" w:color="auto"/>
            <w:left w:val="none" w:sz="0" w:space="0" w:color="auto"/>
            <w:bottom w:val="none" w:sz="0" w:space="0" w:color="auto"/>
            <w:right w:val="none" w:sz="0" w:space="0" w:color="auto"/>
          </w:divBdr>
        </w:div>
        <w:div w:id="1825006918">
          <w:marLeft w:val="1080"/>
          <w:marRight w:val="0"/>
          <w:marTop w:val="100"/>
          <w:marBottom w:val="0"/>
          <w:divBdr>
            <w:top w:val="none" w:sz="0" w:space="0" w:color="auto"/>
            <w:left w:val="none" w:sz="0" w:space="0" w:color="auto"/>
            <w:bottom w:val="none" w:sz="0" w:space="0" w:color="auto"/>
            <w:right w:val="none" w:sz="0" w:space="0" w:color="auto"/>
          </w:divBdr>
        </w:div>
        <w:div w:id="1510682224">
          <w:marLeft w:val="1080"/>
          <w:marRight w:val="0"/>
          <w:marTop w:val="100"/>
          <w:marBottom w:val="0"/>
          <w:divBdr>
            <w:top w:val="none" w:sz="0" w:space="0" w:color="auto"/>
            <w:left w:val="none" w:sz="0" w:space="0" w:color="auto"/>
            <w:bottom w:val="none" w:sz="0" w:space="0" w:color="auto"/>
            <w:right w:val="none" w:sz="0" w:space="0" w:color="auto"/>
          </w:divBdr>
        </w:div>
        <w:div w:id="1358123907">
          <w:marLeft w:val="1080"/>
          <w:marRight w:val="0"/>
          <w:marTop w:val="100"/>
          <w:marBottom w:val="0"/>
          <w:divBdr>
            <w:top w:val="none" w:sz="0" w:space="0" w:color="auto"/>
            <w:left w:val="none" w:sz="0" w:space="0" w:color="auto"/>
            <w:bottom w:val="none" w:sz="0" w:space="0" w:color="auto"/>
            <w:right w:val="none" w:sz="0" w:space="0" w:color="auto"/>
          </w:divBdr>
        </w:div>
        <w:div w:id="1085805130">
          <w:marLeft w:val="1080"/>
          <w:marRight w:val="0"/>
          <w:marTop w:val="100"/>
          <w:marBottom w:val="0"/>
          <w:divBdr>
            <w:top w:val="none" w:sz="0" w:space="0" w:color="auto"/>
            <w:left w:val="none" w:sz="0" w:space="0" w:color="auto"/>
            <w:bottom w:val="none" w:sz="0" w:space="0" w:color="auto"/>
            <w:right w:val="none" w:sz="0" w:space="0" w:color="auto"/>
          </w:divBdr>
        </w:div>
      </w:divsChild>
    </w:div>
    <w:div w:id="710229634">
      <w:bodyDiv w:val="1"/>
      <w:marLeft w:val="0"/>
      <w:marRight w:val="0"/>
      <w:marTop w:val="0"/>
      <w:marBottom w:val="0"/>
      <w:divBdr>
        <w:top w:val="none" w:sz="0" w:space="0" w:color="auto"/>
        <w:left w:val="none" w:sz="0" w:space="0" w:color="auto"/>
        <w:bottom w:val="none" w:sz="0" w:space="0" w:color="auto"/>
        <w:right w:val="none" w:sz="0" w:space="0" w:color="auto"/>
      </w:divBdr>
    </w:div>
    <w:div w:id="871767885">
      <w:bodyDiv w:val="1"/>
      <w:marLeft w:val="0"/>
      <w:marRight w:val="0"/>
      <w:marTop w:val="0"/>
      <w:marBottom w:val="0"/>
      <w:divBdr>
        <w:top w:val="none" w:sz="0" w:space="0" w:color="auto"/>
        <w:left w:val="none" w:sz="0" w:space="0" w:color="auto"/>
        <w:bottom w:val="none" w:sz="0" w:space="0" w:color="auto"/>
        <w:right w:val="none" w:sz="0" w:space="0" w:color="auto"/>
      </w:divBdr>
      <w:divsChild>
        <w:div w:id="1176575296">
          <w:marLeft w:val="360"/>
          <w:marRight w:val="0"/>
          <w:marTop w:val="200"/>
          <w:marBottom w:val="0"/>
          <w:divBdr>
            <w:top w:val="none" w:sz="0" w:space="0" w:color="auto"/>
            <w:left w:val="none" w:sz="0" w:space="0" w:color="auto"/>
            <w:bottom w:val="none" w:sz="0" w:space="0" w:color="auto"/>
            <w:right w:val="none" w:sz="0" w:space="0" w:color="auto"/>
          </w:divBdr>
        </w:div>
        <w:div w:id="1135176386">
          <w:marLeft w:val="360"/>
          <w:marRight w:val="0"/>
          <w:marTop w:val="200"/>
          <w:marBottom w:val="0"/>
          <w:divBdr>
            <w:top w:val="none" w:sz="0" w:space="0" w:color="auto"/>
            <w:left w:val="none" w:sz="0" w:space="0" w:color="auto"/>
            <w:bottom w:val="none" w:sz="0" w:space="0" w:color="auto"/>
            <w:right w:val="none" w:sz="0" w:space="0" w:color="auto"/>
          </w:divBdr>
        </w:div>
      </w:divsChild>
    </w:div>
    <w:div w:id="978650421">
      <w:bodyDiv w:val="1"/>
      <w:marLeft w:val="0"/>
      <w:marRight w:val="0"/>
      <w:marTop w:val="0"/>
      <w:marBottom w:val="0"/>
      <w:divBdr>
        <w:top w:val="none" w:sz="0" w:space="0" w:color="auto"/>
        <w:left w:val="none" w:sz="0" w:space="0" w:color="auto"/>
        <w:bottom w:val="none" w:sz="0" w:space="0" w:color="auto"/>
        <w:right w:val="none" w:sz="0" w:space="0" w:color="auto"/>
      </w:divBdr>
      <w:divsChild>
        <w:div w:id="370344099">
          <w:marLeft w:val="360"/>
          <w:marRight w:val="0"/>
          <w:marTop w:val="100"/>
          <w:marBottom w:val="0"/>
          <w:divBdr>
            <w:top w:val="none" w:sz="0" w:space="0" w:color="auto"/>
            <w:left w:val="none" w:sz="0" w:space="0" w:color="auto"/>
            <w:bottom w:val="none" w:sz="0" w:space="0" w:color="auto"/>
            <w:right w:val="none" w:sz="0" w:space="0" w:color="auto"/>
          </w:divBdr>
        </w:div>
        <w:div w:id="220867855">
          <w:marLeft w:val="360"/>
          <w:marRight w:val="0"/>
          <w:marTop w:val="100"/>
          <w:marBottom w:val="0"/>
          <w:divBdr>
            <w:top w:val="none" w:sz="0" w:space="0" w:color="auto"/>
            <w:left w:val="none" w:sz="0" w:space="0" w:color="auto"/>
            <w:bottom w:val="none" w:sz="0" w:space="0" w:color="auto"/>
            <w:right w:val="none" w:sz="0" w:space="0" w:color="auto"/>
          </w:divBdr>
        </w:div>
        <w:div w:id="1177580841">
          <w:marLeft w:val="360"/>
          <w:marRight w:val="0"/>
          <w:marTop w:val="100"/>
          <w:marBottom w:val="0"/>
          <w:divBdr>
            <w:top w:val="none" w:sz="0" w:space="0" w:color="auto"/>
            <w:left w:val="none" w:sz="0" w:space="0" w:color="auto"/>
            <w:bottom w:val="none" w:sz="0" w:space="0" w:color="auto"/>
            <w:right w:val="none" w:sz="0" w:space="0" w:color="auto"/>
          </w:divBdr>
        </w:div>
        <w:div w:id="397092548">
          <w:marLeft w:val="360"/>
          <w:marRight w:val="0"/>
          <w:marTop w:val="100"/>
          <w:marBottom w:val="0"/>
          <w:divBdr>
            <w:top w:val="none" w:sz="0" w:space="0" w:color="auto"/>
            <w:left w:val="none" w:sz="0" w:space="0" w:color="auto"/>
            <w:bottom w:val="none" w:sz="0" w:space="0" w:color="auto"/>
            <w:right w:val="none" w:sz="0" w:space="0" w:color="auto"/>
          </w:divBdr>
        </w:div>
      </w:divsChild>
    </w:div>
    <w:div w:id="1057893563">
      <w:bodyDiv w:val="1"/>
      <w:marLeft w:val="0"/>
      <w:marRight w:val="0"/>
      <w:marTop w:val="0"/>
      <w:marBottom w:val="0"/>
      <w:divBdr>
        <w:top w:val="none" w:sz="0" w:space="0" w:color="auto"/>
        <w:left w:val="none" w:sz="0" w:space="0" w:color="auto"/>
        <w:bottom w:val="none" w:sz="0" w:space="0" w:color="auto"/>
        <w:right w:val="none" w:sz="0" w:space="0" w:color="auto"/>
      </w:divBdr>
    </w:div>
    <w:div w:id="1108086617">
      <w:bodyDiv w:val="1"/>
      <w:marLeft w:val="0"/>
      <w:marRight w:val="0"/>
      <w:marTop w:val="0"/>
      <w:marBottom w:val="0"/>
      <w:divBdr>
        <w:top w:val="none" w:sz="0" w:space="0" w:color="auto"/>
        <w:left w:val="none" w:sz="0" w:space="0" w:color="auto"/>
        <w:bottom w:val="none" w:sz="0" w:space="0" w:color="auto"/>
        <w:right w:val="none" w:sz="0" w:space="0" w:color="auto"/>
      </w:divBdr>
      <w:divsChild>
        <w:div w:id="1179928617">
          <w:marLeft w:val="1080"/>
          <w:marRight w:val="0"/>
          <w:marTop w:val="100"/>
          <w:marBottom w:val="0"/>
          <w:divBdr>
            <w:top w:val="none" w:sz="0" w:space="0" w:color="auto"/>
            <w:left w:val="none" w:sz="0" w:space="0" w:color="auto"/>
            <w:bottom w:val="none" w:sz="0" w:space="0" w:color="auto"/>
            <w:right w:val="none" w:sz="0" w:space="0" w:color="auto"/>
          </w:divBdr>
        </w:div>
        <w:div w:id="189497002">
          <w:marLeft w:val="1080"/>
          <w:marRight w:val="0"/>
          <w:marTop w:val="100"/>
          <w:marBottom w:val="0"/>
          <w:divBdr>
            <w:top w:val="none" w:sz="0" w:space="0" w:color="auto"/>
            <w:left w:val="none" w:sz="0" w:space="0" w:color="auto"/>
            <w:bottom w:val="none" w:sz="0" w:space="0" w:color="auto"/>
            <w:right w:val="none" w:sz="0" w:space="0" w:color="auto"/>
          </w:divBdr>
        </w:div>
        <w:div w:id="484207985">
          <w:marLeft w:val="1080"/>
          <w:marRight w:val="0"/>
          <w:marTop w:val="100"/>
          <w:marBottom w:val="0"/>
          <w:divBdr>
            <w:top w:val="none" w:sz="0" w:space="0" w:color="auto"/>
            <w:left w:val="none" w:sz="0" w:space="0" w:color="auto"/>
            <w:bottom w:val="none" w:sz="0" w:space="0" w:color="auto"/>
            <w:right w:val="none" w:sz="0" w:space="0" w:color="auto"/>
          </w:divBdr>
        </w:div>
        <w:div w:id="1811432903">
          <w:marLeft w:val="1080"/>
          <w:marRight w:val="0"/>
          <w:marTop w:val="100"/>
          <w:marBottom w:val="0"/>
          <w:divBdr>
            <w:top w:val="none" w:sz="0" w:space="0" w:color="auto"/>
            <w:left w:val="none" w:sz="0" w:space="0" w:color="auto"/>
            <w:bottom w:val="none" w:sz="0" w:space="0" w:color="auto"/>
            <w:right w:val="none" w:sz="0" w:space="0" w:color="auto"/>
          </w:divBdr>
        </w:div>
        <w:div w:id="149946773">
          <w:marLeft w:val="1080"/>
          <w:marRight w:val="0"/>
          <w:marTop w:val="100"/>
          <w:marBottom w:val="0"/>
          <w:divBdr>
            <w:top w:val="none" w:sz="0" w:space="0" w:color="auto"/>
            <w:left w:val="none" w:sz="0" w:space="0" w:color="auto"/>
            <w:bottom w:val="none" w:sz="0" w:space="0" w:color="auto"/>
            <w:right w:val="none" w:sz="0" w:space="0" w:color="auto"/>
          </w:divBdr>
        </w:div>
      </w:divsChild>
    </w:div>
    <w:div w:id="1108817080">
      <w:bodyDiv w:val="1"/>
      <w:marLeft w:val="0"/>
      <w:marRight w:val="0"/>
      <w:marTop w:val="0"/>
      <w:marBottom w:val="0"/>
      <w:divBdr>
        <w:top w:val="none" w:sz="0" w:space="0" w:color="auto"/>
        <w:left w:val="none" w:sz="0" w:space="0" w:color="auto"/>
        <w:bottom w:val="none" w:sz="0" w:space="0" w:color="auto"/>
        <w:right w:val="none" w:sz="0" w:space="0" w:color="auto"/>
      </w:divBdr>
    </w:div>
    <w:div w:id="1265652557">
      <w:bodyDiv w:val="1"/>
      <w:marLeft w:val="0"/>
      <w:marRight w:val="0"/>
      <w:marTop w:val="0"/>
      <w:marBottom w:val="0"/>
      <w:divBdr>
        <w:top w:val="none" w:sz="0" w:space="0" w:color="auto"/>
        <w:left w:val="none" w:sz="0" w:space="0" w:color="auto"/>
        <w:bottom w:val="none" w:sz="0" w:space="0" w:color="auto"/>
        <w:right w:val="none" w:sz="0" w:space="0" w:color="auto"/>
      </w:divBdr>
      <w:divsChild>
        <w:div w:id="1151678657">
          <w:marLeft w:val="360"/>
          <w:marRight w:val="0"/>
          <w:marTop w:val="200"/>
          <w:marBottom w:val="0"/>
          <w:divBdr>
            <w:top w:val="none" w:sz="0" w:space="0" w:color="auto"/>
            <w:left w:val="none" w:sz="0" w:space="0" w:color="auto"/>
            <w:bottom w:val="none" w:sz="0" w:space="0" w:color="auto"/>
            <w:right w:val="none" w:sz="0" w:space="0" w:color="auto"/>
          </w:divBdr>
        </w:div>
        <w:div w:id="1350447324">
          <w:marLeft w:val="360"/>
          <w:marRight w:val="0"/>
          <w:marTop w:val="200"/>
          <w:marBottom w:val="0"/>
          <w:divBdr>
            <w:top w:val="none" w:sz="0" w:space="0" w:color="auto"/>
            <w:left w:val="none" w:sz="0" w:space="0" w:color="auto"/>
            <w:bottom w:val="none" w:sz="0" w:space="0" w:color="auto"/>
            <w:right w:val="none" w:sz="0" w:space="0" w:color="auto"/>
          </w:divBdr>
        </w:div>
        <w:div w:id="1058551666">
          <w:marLeft w:val="360"/>
          <w:marRight w:val="0"/>
          <w:marTop w:val="200"/>
          <w:marBottom w:val="0"/>
          <w:divBdr>
            <w:top w:val="none" w:sz="0" w:space="0" w:color="auto"/>
            <w:left w:val="none" w:sz="0" w:space="0" w:color="auto"/>
            <w:bottom w:val="none" w:sz="0" w:space="0" w:color="auto"/>
            <w:right w:val="none" w:sz="0" w:space="0" w:color="auto"/>
          </w:divBdr>
        </w:div>
        <w:div w:id="1006831384">
          <w:marLeft w:val="360"/>
          <w:marRight w:val="0"/>
          <w:marTop w:val="200"/>
          <w:marBottom w:val="0"/>
          <w:divBdr>
            <w:top w:val="none" w:sz="0" w:space="0" w:color="auto"/>
            <w:left w:val="none" w:sz="0" w:space="0" w:color="auto"/>
            <w:bottom w:val="none" w:sz="0" w:space="0" w:color="auto"/>
            <w:right w:val="none" w:sz="0" w:space="0" w:color="auto"/>
          </w:divBdr>
        </w:div>
        <w:div w:id="1327051808">
          <w:marLeft w:val="360"/>
          <w:marRight w:val="0"/>
          <w:marTop w:val="200"/>
          <w:marBottom w:val="0"/>
          <w:divBdr>
            <w:top w:val="none" w:sz="0" w:space="0" w:color="auto"/>
            <w:left w:val="none" w:sz="0" w:space="0" w:color="auto"/>
            <w:bottom w:val="none" w:sz="0" w:space="0" w:color="auto"/>
            <w:right w:val="none" w:sz="0" w:space="0" w:color="auto"/>
          </w:divBdr>
        </w:div>
        <w:div w:id="1210923697">
          <w:marLeft w:val="360"/>
          <w:marRight w:val="0"/>
          <w:marTop w:val="200"/>
          <w:marBottom w:val="0"/>
          <w:divBdr>
            <w:top w:val="none" w:sz="0" w:space="0" w:color="auto"/>
            <w:left w:val="none" w:sz="0" w:space="0" w:color="auto"/>
            <w:bottom w:val="none" w:sz="0" w:space="0" w:color="auto"/>
            <w:right w:val="none" w:sz="0" w:space="0" w:color="auto"/>
          </w:divBdr>
        </w:div>
        <w:div w:id="1984113445">
          <w:marLeft w:val="360"/>
          <w:marRight w:val="0"/>
          <w:marTop w:val="200"/>
          <w:marBottom w:val="0"/>
          <w:divBdr>
            <w:top w:val="none" w:sz="0" w:space="0" w:color="auto"/>
            <w:left w:val="none" w:sz="0" w:space="0" w:color="auto"/>
            <w:bottom w:val="none" w:sz="0" w:space="0" w:color="auto"/>
            <w:right w:val="none" w:sz="0" w:space="0" w:color="auto"/>
          </w:divBdr>
        </w:div>
      </w:divsChild>
    </w:div>
    <w:div w:id="1897741952">
      <w:bodyDiv w:val="1"/>
      <w:marLeft w:val="0"/>
      <w:marRight w:val="0"/>
      <w:marTop w:val="0"/>
      <w:marBottom w:val="0"/>
      <w:divBdr>
        <w:top w:val="none" w:sz="0" w:space="0" w:color="auto"/>
        <w:left w:val="none" w:sz="0" w:space="0" w:color="auto"/>
        <w:bottom w:val="none" w:sz="0" w:space="0" w:color="auto"/>
        <w:right w:val="none" w:sz="0" w:space="0" w:color="auto"/>
      </w:divBdr>
      <w:divsChild>
        <w:div w:id="1777358697">
          <w:marLeft w:val="360"/>
          <w:marRight w:val="0"/>
          <w:marTop w:val="200"/>
          <w:marBottom w:val="0"/>
          <w:divBdr>
            <w:top w:val="none" w:sz="0" w:space="0" w:color="auto"/>
            <w:left w:val="none" w:sz="0" w:space="0" w:color="auto"/>
            <w:bottom w:val="none" w:sz="0" w:space="0" w:color="auto"/>
            <w:right w:val="none" w:sz="0" w:space="0" w:color="auto"/>
          </w:divBdr>
        </w:div>
      </w:divsChild>
    </w:div>
    <w:div w:id="2113931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81981-84B6-7644-9967-95D18E4F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1344</Words>
  <Characters>7663</Characters>
  <Application>Microsoft Macintosh Word</Application>
  <DocSecurity>0</DocSecurity>
  <Lines>63</Lines>
  <Paragraphs>17</Paragraphs>
  <ScaleCrop>false</ScaleCrop>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Nawaf Alfawzan</dc:creator>
  <cp:keywords/>
  <dc:description/>
  <cp:lastModifiedBy>Nawaf Alfawzan</cp:lastModifiedBy>
  <cp:revision>5</cp:revision>
  <dcterms:created xsi:type="dcterms:W3CDTF">2017-10-22T11:14:00Z</dcterms:created>
  <dcterms:modified xsi:type="dcterms:W3CDTF">2017-11-20T22:02:00Z</dcterms:modified>
</cp:coreProperties>
</file>